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16796051" w:rsidR="00CD4C7B" w:rsidRPr="00B266B0" w:rsidRDefault="00B05962" w:rsidP="00CD4C7B">
      <w:pPr>
        <w:pStyle w:val="Header"/>
        <w:tabs>
          <w:tab w:val="right" w:pos="9639"/>
        </w:tabs>
        <w:rPr>
          <w:bCs/>
          <w:i/>
          <w:noProof w:val="0"/>
          <w:sz w:val="24"/>
          <w:szCs w:val="24"/>
        </w:rPr>
      </w:pPr>
      <w:bookmarkStart w:id="0" w:name="_GoBack"/>
      <w:bookmarkEnd w:id="0"/>
      <w:r w:rsidRPr="00B05962">
        <w:rPr>
          <w:bCs/>
          <w:noProof w:val="0"/>
          <w:sz w:val="24"/>
          <w:szCs w:val="24"/>
        </w:rPr>
        <w:t>3GPP TSG-RAN WG2 Meeting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216AD0">
        <w:rPr>
          <w:bCs/>
          <w:noProof w:val="0"/>
          <w:sz w:val="24"/>
          <w:szCs w:val="24"/>
        </w:rPr>
        <w:t>04772</w:t>
      </w:r>
    </w:p>
    <w:p w14:paraId="231362B2" w14:textId="03B572A3" w:rsidR="00CD4C7B" w:rsidRPr="00B266B0" w:rsidRDefault="00231728" w:rsidP="00CD4C7B">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64A4EC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16AD0" w:rsidRPr="00216AD0">
        <w:rPr>
          <w:rFonts w:cs="Arial"/>
          <w:b/>
          <w:bCs/>
          <w:sz w:val="24"/>
        </w:rPr>
        <w:t>10.4.1.3.1.1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B5EBC4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47729">
        <w:rPr>
          <w:rFonts w:ascii="Arial" w:hAnsi="Arial" w:cs="Arial"/>
          <w:b/>
          <w:bCs/>
          <w:sz w:val="24"/>
        </w:rPr>
        <w:t>Clarifications to the NR TDD configuration</w:t>
      </w:r>
    </w:p>
    <w:p w14:paraId="3AC3A0B1" w14:textId="57FF76C8"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25820">
        <w:rPr>
          <w:rFonts w:ascii="Arial" w:hAnsi="Arial" w:cs="Arial"/>
          <w:b/>
          <w:bCs/>
          <w:sz w:val="24"/>
        </w:rPr>
        <w:t>NR_NewRAT</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412F6A9D" w:rsidR="00CD4C7B" w:rsidRPr="006E13D1" w:rsidRDefault="00E47729" w:rsidP="00CD4C7B">
      <w:r>
        <w:t>The (dynamic) TDD configuration in NR is quite complex and seems to contain some inaccuracies in NR RRC. In this contribution, we attempt to clarify how the configuration is expected to work and how to make it easier to understand.</w:t>
      </w:r>
    </w:p>
    <w:p w14:paraId="127ACA6D" w14:textId="43255F60" w:rsidR="00CD4C7B" w:rsidRPr="006E13D1" w:rsidRDefault="00CD4C7B" w:rsidP="00CD4C7B">
      <w:pPr>
        <w:pStyle w:val="Heading1"/>
      </w:pPr>
      <w:r w:rsidRPr="006E13D1">
        <w:t>2</w:t>
      </w:r>
      <w:r w:rsidRPr="006E13D1">
        <w:tab/>
      </w:r>
      <w:r w:rsidR="00E47729">
        <w:t xml:space="preserve">Principles of </w:t>
      </w:r>
      <w:r w:rsidR="00976B0C">
        <w:t>semi-</w:t>
      </w:r>
      <w:r w:rsidR="00E47729">
        <w:t>dynamic TDD in NR</w:t>
      </w:r>
    </w:p>
    <w:p w14:paraId="2AB6C8CC" w14:textId="6AF99E4F" w:rsidR="003350B5" w:rsidRPr="006E13D1" w:rsidRDefault="003350B5" w:rsidP="003350B5">
      <w:pPr>
        <w:pStyle w:val="Heading2"/>
      </w:pPr>
      <w:r>
        <w:t>2</w:t>
      </w:r>
      <w:r w:rsidRPr="006E13D1">
        <w:t>.1</w:t>
      </w:r>
      <w:r w:rsidRPr="006E13D1">
        <w:tab/>
      </w:r>
      <w:r>
        <w:t>Cell-specific TDD configuration</w:t>
      </w:r>
      <w:r w:rsidRPr="006E13D1">
        <w:t xml:space="preserve"> </w:t>
      </w:r>
    </w:p>
    <w:p w14:paraId="6F43D719" w14:textId="6FEAE19C" w:rsidR="007B6699" w:rsidRDefault="007B6699" w:rsidP="00CD4C7B">
      <w:r>
        <w:t>T</w:t>
      </w:r>
      <w:r w:rsidR="00E47729">
        <w:t>he basic principle of the (</w:t>
      </w:r>
      <w:r w:rsidR="00976B0C">
        <w:t>semi-</w:t>
      </w:r>
      <w:r w:rsidR="00E47729">
        <w:t xml:space="preserve">dynamic) TDD configuration in NR is quite simple: </w:t>
      </w:r>
      <w:r>
        <w:t xml:space="preserve">For a fixed period of X slots, the </w:t>
      </w:r>
      <w:r w:rsidRPr="007B6699">
        <w:rPr>
          <w:b/>
        </w:rPr>
        <w:t>first</w:t>
      </w:r>
      <w:r>
        <w:t xml:space="preserve"> N slots are for DL (only), the </w:t>
      </w:r>
      <w:r w:rsidRPr="007B6699">
        <w:rPr>
          <w:b/>
        </w:rPr>
        <w:t>last</w:t>
      </w:r>
      <w:r>
        <w:t xml:space="preserve"> M slots are for UL (only), and the remaining K = X-N-M slots in the middle can be flexibly allocated via dynamic DCI commands. </w:t>
      </w:r>
      <w:r w:rsidR="003350B5">
        <w:t xml:space="preserve">The value of X is fixed to only certain values, namely 0.5, 0.625, 1, 1.25, 2, 2.5, 5 or 10ms. </w:t>
      </w:r>
      <w:r>
        <w:t>This is i</w:t>
      </w:r>
      <w:r w:rsidR="003350B5">
        <w:t>llustrated in F</w:t>
      </w:r>
      <w:r>
        <w:t>igure 1 below</w:t>
      </w:r>
      <w:r w:rsidR="003350B5">
        <w:t xml:space="preserve"> (note that the term “FL”, “Flexible Link” is used to denote the slots that may be scheduled with either UL or DL depending on gNB decision).</w:t>
      </w:r>
    </w:p>
    <w:p w14:paraId="71A4ED9B" w14:textId="09D97A48" w:rsidR="007B6699" w:rsidRDefault="00216AD0" w:rsidP="007B6699">
      <w:pPr>
        <w:jc w:val="center"/>
      </w:pPr>
      <w:r>
        <w:rPr>
          <w:noProof/>
        </w:rPr>
        <w:drawing>
          <wp:inline distT="0" distB="0" distL="0" distR="0" wp14:anchorId="637AED81" wp14:editId="1FEC7F61">
            <wp:extent cx="4286250" cy="3447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5956" cy="3454841"/>
                    </a:xfrm>
                    <a:prstGeom prst="rect">
                      <a:avLst/>
                    </a:prstGeom>
                    <a:noFill/>
                  </pic:spPr>
                </pic:pic>
              </a:graphicData>
            </a:graphic>
          </wp:inline>
        </w:drawing>
      </w:r>
    </w:p>
    <w:p w14:paraId="03AA1DB4" w14:textId="3F15B27E" w:rsidR="007B6699" w:rsidRPr="007B6699" w:rsidRDefault="007B6699" w:rsidP="007B6699">
      <w:pPr>
        <w:pStyle w:val="TF"/>
      </w:pPr>
      <w:r w:rsidRPr="007B6699">
        <w:t xml:space="preserve">Figure </w:t>
      </w:r>
      <w:fldSimple w:instr=" SEQ Figure \* ARABIC ">
        <w:r w:rsidR="00683EBF">
          <w:rPr>
            <w:noProof/>
          </w:rPr>
          <w:t>1</w:t>
        </w:r>
      </w:fldSimple>
      <w:r w:rsidRPr="007B6699">
        <w:t xml:space="preserve">. Basic principle of </w:t>
      </w:r>
      <w:r w:rsidR="00BF7B32">
        <w:t xml:space="preserve">cell-specific configuration of </w:t>
      </w:r>
      <w:r w:rsidRPr="007B6699">
        <w:t>dynamic TDD in NR</w:t>
      </w:r>
    </w:p>
    <w:p w14:paraId="1FD1376B" w14:textId="1893B345" w:rsidR="007F73DA" w:rsidRDefault="007F73DA" w:rsidP="00CD4C7B">
      <w:r>
        <w:t>As noted in the picture, the first FL slot may also have the first Y symbols continuing as DL, and the last FL slot may have the last X symbols already starting as UL.</w:t>
      </w:r>
    </w:p>
    <w:p w14:paraId="755123AC" w14:textId="7CA15B34" w:rsidR="007F73DA" w:rsidRDefault="007F73DA" w:rsidP="00CD4C7B">
      <w:r w:rsidRPr="009F0CB7">
        <w:rPr>
          <w:b/>
        </w:rPr>
        <w:lastRenderedPageBreak/>
        <w:t>Observation 1:</w:t>
      </w:r>
      <w:r>
        <w:t xml:space="preserve"> The first and last flexible slots of the common configuration may also contain fixed DL symbols at the beginning (first FL slot only) and UL symbols at the end (last FL slot only).</w:t>
      </w:r>
    </w:p>
    <w:p w14:paraId="30A1C5EB" w14:textId="7BA760CE" w:rsidR="007B6699" w:rsidRDefault="007B6699" w:rsidP="00CD4C7B">
      <w:r>
        <w:t xml:space="preserve">However, </w:t>
      </w:r>
      <w:r w:rsidR="00216AD0">
        <w:t>RAN1 decided to allow</w:t>
      </w:r>
      <w:r>
        <w:t xml:space="preserve"> two such </w:t>
      </w:r>
      <w:r w:rsidR="003350B5">
        <w:t xml:space="preserve">consecutive TDD configuration </w:t>
      </w:r>
      <w:r>
        <w:t xml:space="preserve">periods </w:t>
      </w:r>
      <w:r w:rsidR="00216AD0">
        <w:t xml:space="preserve">for </w:t>
      </w:r>
      <w:r w:rsidR="003350B5">
        <w:t>NR</w:t>
      </w:r>
      <w:r w:rsidR="00216AD0">
        <w:t xml:space="preserve"> for better flexibility</w:t>
      </w:r>
      <w:r w:rsidR="003350B5">
        <w:t>.</w:t>
      </w:r>
      <w:r>
        <w:t xml:space="preserve"> Thus, the actual basic cell-specific dynamic TDD configuration in NR is as shown below, with one or two consecutive TDD periods following the structure in Figure 1, with possibly different configurations. </w:t>
      </w:r>
    </w:p>
    <w:p w14:paraId="032C0245" w14:textId="5F39B49F" w:rsidR="007B6699" w:rsidRDefault="00216AD0" w:rsidP="00CD4C7B">
      <w:r>
        <w:rPr>
          <w:noProof/>
        </w:rPr>
        <w:drawing>
          <wp:inline distT="0" distB="0" distL="0" distR="0" wp14:anchorId="3D20CF06" wp14:editId="146220EA">
            <wp:extent cx="6412968" cy="27800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20308" cy="2783212"/>
                    </a:xfrm>
                    <a:prstGeom prst="rect">
                      <a:avLst/>
                    </a:prstGeom>
                    <a:noFill/>
                  </pic:spPr>
                </pic:pic>
              </a:graphicData>
            </a:graphic>
          </wp:inline>
        </w:drawing>
      </w:r>
    </w:p>
    <w:p w14:paraId="4D33982B" w14:textId="6B7434B2" w:rsidR="007B6699" w:rsidRPr="007B6699" w:rsidRDefault="007B6699" w:rsidP="007B6699">
      <w:pPr>
        <w:pStyle w:val="TF"/>
      </w:pPr>
      <w:r w:rsidRPr="007B6699">
        <w:t xml:space="preserve">Figure </w:t>
      </w:r>
      <w:fldSimple w:instr=" SEQ Figure \* ARABIC ">
        <w:r w:rsidR="00683EBF">
          <w:rPr>
            <w:noProof/>
          </w:rPr>
          <w:t>2</w:t>
        </w:r>
      </w:fldSimple>
      <w:r w:rsidRPr="007B6699">
        <w:t xml:space="preserve">. </w:t>
      </w:r>
      <w:r>
        <w:t xml:space="preserve">Cell-specific configuration of </w:t>
      </w:r>
      <w:r w:rsidRPr="007B6699">
        <w:t>dynamic TDD in NR</w:t>
      </w:r>
    </w:p>
    <w:p w14:paraId="568DFF79" w14:textId="7C4B2C4F" w:rsidR="007B6699" w:rsidRDefault="003350B5" w:rsidP="00CD4C7B">
      <w:r>
        <w:t>This configuration belongs to the ServingCellConfigCommon in NR RRC, and can be thus given in SIB1 (for PCell) or via dedicated signalling (for PSCell and SCells).</w:t>
      </w:r>
    </w:p>
    <w:p w14:paraId="6D1C872A" w14:textId="74468FC7" w:rsidR="003350B5" w:rsidRDefault="003350B5" w:rsidP="00CD4C7B">
      <w:r w:rsidRPr="003350B5">
        <w:rPr>
          <w:b/>
        </w:rPr>
        <w:t xml:space="preserve">Observation </w:t>
      </w:r>
      <w:r w:rsidR="007F73DA">
        <w:rPr>
          <w:b/>
        </w:rPr>
        <w:t>2</w:t>
      </w:r>
      <w:r w:rsidRPr="003350B5">
        <w:rPr>
          <w:b/>
        </w:rPr>
        <w:t>:</w:t>
      </w:r>
      <w:r>
        <w:t xml:space="preserve"> NR RRC allows to two consecutive TDD configurations in cell-specific signalling. </w:t>
      </w:r>
    </w:p>
    <w:p w14:paraId="6AEFD49F" w14:textId="5206C0A0" w:rsidR="003350B5" w:rsidRDefault="003350B5" w:rsidP="00CD4C7B">
      <w:r w:rsidRPr="003350B5">
        <w:rPr>
          <w:b/>
        </w:rPr>
        <w:t xml:space="preserve">Observation </w:t>
      </w:r>
      <w:r w:rsidR="007F73DA">
        <w:rPr>
          <w:b/>
        </w:rPr>
        <w:t>3</w:t>
      </w:r>
      <w:r w:rsidRPr="003350B5">
        <w:rPr>
          <w:b/>
        </w:rPr>
        <w:t>:</w:t>
      </w:r>
      <w:r>
        <w:t xml:space="preserve"> The cell-specific configurations can only be changed via SI update (for PCell) or reconfiguration with sync (for PSCell and SCells).</w:t>
      </w:r>
    </w:p>
    <w:p w14:paraId="4E5A184B" w14:textId="3ADD7920" w:rsidR="003350B5" w:rsidRPr="006E13D1" w:rsidRDefault="003350B5" w:rsidP="003350B5">
      <w:pPr>
        <w:pStyle w:val="Heading2"/>
      </w:pPr>
      <w:r>
        <w:t>2</w:t>
      </w:r>
      <w:r w:rsidRPr="006E13D1">
        <w:t>.</w:t>
      </w:r>
      <w:r>
        <w:t>2</w:t>
      </w:r>
      <w:r w:rsidRPr="006E13D1">
        <w:tab/>
      </w:r>
      <w:r>
        <w:t>UE-specific TDD configuration</w:t>
      </w:r>
      <w:r w:rsidRPr="006E13D1">
        <w:t xml:space="preserve"> </w:t>
      </w:r>
    </w:p>
    <w:p w14:paraId="16652736" w14:textId="6818935D" w:rsidR="00A7030C" w:rsidRDefault="00216AD0" w:rsidP="003350B5">
      <w:r>
        <w:t xml:space="preserve">Things get complicated when we consider the next level of UE-specific configuration: </w:t>
      </w:r>
      <w:r w:rsidR="003350B5">
        <w:t>In addition to the cell-specific configurations, it is possible to provide UE-specific TDD configuration as well, e.g. to override the cell-specific configurations for FL slots with something less dynamic.</w:t>
      </w:r>
      <w:r w:rsidR="00B22824">
        <w:t xml:space="preserve"> </w:t>
      </w:r>
      <w:r w:rsidR="00EE7555">
        <w:t>On the surface, it appears that t</w:t>
      </w:r>
      <w:r w:rsidR="00A7030C">
        <w:t>his can be done for ANY slot in the TDD configuration, and need not be done for consecutive slots, certain combination of UL/DL/FL slots: All flexibility is allowed by the signalling</w:t>
      </w:r>
      <w:r w:rsidR="00BF7B32">
        <w:t>, as</w:t>
      </w:r>
      <w:r w:rsidR="00A7030C">
        <w:t xml:space="preserve"> illustrated in figure 3 below.</w:t>
      </w:r>
    </w:p>
    <w:p w14:paraId="0B9005FE" w14:textId="4E763D6C" w:rsidR="00A7030C" w:rsidRDefault="00EE7555" w:rsidP="003350B5">
      <w:r>
        <w:rPr>
          <w:noProof/>
        </w:rPr>
        <w:lastRenderedPageBreak/>
        <w:drawing>
          <wp:inline distT="0" distB="0" distL="0" distR="0" wp14:anchorId="1B1B2B8E" wp14:editId="6ADB8A90">
            <wp:extent cx="6079344" cy="34442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81117" cy="3445245"/>
                    </a:xfrm>
                    <a:prstGeom prst="rect">
                      <a:avLst/>
                    </a:prstGeom>
                    <a:noFill/>
                  </pic:spPr>
                </pic:pic>
              </a:graphicData>
            </a:graphic>
          </wp:inline>
        </w:drawing>
      </w:r>
    </w:p>
    <w:p w14:paraId="25A76992" w14:textId="0C2CF34C" w:rsidR="00BF7B32" w:rsidRPr="007B6699" w:rsidRDefault="00BF7B32" w:rsidP="00BF7B32">
      <w:pPr>
        <w:pStyle w:val="TF"/>
      </w:pPr>
      <w:r w:rsidRPr="007B6699">
        <w:t xml:space="preserve">Figure </w:t>
      </w:r>
      <w:fldSimple w:instr=" SEQ Figure \* ARABIC ">
        <w:r w:rsidR="00683EBF">
          <w:rPr>
            <w:noProof/>
          </w:rPr>
          <w:t>3</w:t>
        </w:r>
      </w:fldSimple>
      <w:r w:rsidRPr="007B6699">
        <w:t xml:space="preserve">. </w:t>
      </w:r>
      <w:r>
        <w:t xml:space="preserve">Combining cell-specific and UE-specific TDD configurations </w:t>
      </w:r>
      <w:r w:rsidRPr="007B6699">
        <w:t>in NR</w:t>
      </w:r>
    </w:p>
    <w:p w14:paraId="3F2265C7" w14:textId="1056B0B9" w:rsidR="00BF7B32" w:rsidRDefault="004430FC" w:rsidP="003350B5">
      <w:r>
        <w:t xml:space="preserve">However, when reading 38.213, it appears that </w:t>
      </w:r>
      <w:r w:rsidRPr="009F0CB7">
        <w:rPr>
          <w:b/>
        </w:rPr>
        <w:t>only the FL slots</w:t>
      </w:r>
      <w:r>
        <w:t xml:space="preserve"> </w:t>
      </w:r>
      <w:r w:rsidRPr="009F0CB7">
        <w:t>will be overridden</w:t>
      </w:r>
      <w:r>
        <w:t xml:space="preserve"> by the dedicated configuration, despite it being possible to configure FL also for UL or DL slots. </w:t>
      </w:r>
      <w:r w:rsidR="00A52C06">
        <w:t>To ensure this is noticed also in RRC, the field descriptions should contain reference to 38.213 by indicating “as specified in 38.213” (to avoid duplicating text in specifications).</w:t>
      </w:r>
    </w:p>
    <w:p w14:paraId="0D2791E6" w14:textId="7EB70FF0" w:rsidR="00A52C06" w:rsidRDefault="007F73DA" w:rsidP="003350B5">
      <w:r w:rsidRPr="009F0CB7">
        <w:rPr>
          <w:b/>
        </w:rPr>
        <w:t>Observation 4</w:t>
      </w:r>
      <w:r w:rsidR="00A52C06" w:rsidRPr="009F0CB7">
        <w:rPr>
          <w:b/>
        </w:rPr>
        <w:t>:</w:t>
      </w:r>
      <w:r w:rsidR="00A52C06">
        <w:t xml:space="preserve"> </w:t>
      </w:r>
      <w:r w:rsidR="00EE7555">
        <w:t>The UE-specific TDD configuration can only override slots designated as “flexible”, and does NOT override pure DL or UL slots.</w:t>
      </w:r>
    </w:p>
    <w:p w14:paraId="6DC7CEDE" w14:textId="209726AD" w:rsidR="00EE7555" w:rsidRDefault="00EE7555" w:rsidP="003350B5">
      <w:r>
        <w:t>Hence, the figure becomes slightly different when considering this aspect as shown in Figure 4 below:</w:t>
      </w:r>
    </w:p>
    <w:p w14:paraId="61B36EC5" w14:textId="4165F612" w:rsidR="007F73DA" w:rsidRDefault="007F73DA" w:rsidP="003350B5">
      <w:r>
        <w:rPr>
          <w:noProof/>
        </w:rPr>
        <w:drawing>
          <wp:inline distT="0" distB="0" distL="0" distR="0" wp14:anchorId="3FD5CEEF" wp14:editId="2F3F05F1">
            <wp:extent cx="5905500" cy="32648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19483" cy="3272606"/>
                    </a:xfrm>
                    <a:prstGeom prst="rect">
                      <a:avLst/>
                    </a:prstGeom>
                    <a:noFill/>
                  </pic:spPr>
                </pic:pic>
              </a:graphicData>
            </a:graphic>
          </wp:inline>
        </w:drawing>
      </w:r>
    </w:p>
    <w:p w14:paraId="49EBF963" w14:textId="39B25B28" w:rsidR="00EE7555" w:rsidRPr="007B6699" w:rsidRDefault="00EE7555" w:rsidP="00EE7555">
      <w:pPr>
        <w:pStyle w:val="TF"/>
      </w:pPr>
      <w:r w:rsidRPr="007B6699">
        <w:t xml:space="preserve">Figure </w:t>
      </w:r>
      <w:fldSimple w:instr=" SEQ Figure \* ARABIC ">
        <w:r w:rsidR="00683EBF">
          <w:rPr>
            <w:noProof/>
          </w:rPr>
          <w:t>4</w:t>
        </w:r>
      </w:fldSimple>
      <w:r w:rsidRPr="007B6699">
        <w:t xml:space="preserve">. </w:t>
      </w:r>
      <w:r w:rsidR="007F73DA">
        <w:t>Corrected version of c</w:t>
      </w:r>
      <w:r>
        <w:t xml:space="preserve">ombining cell-specific and UE-specific TDD configurations </w:t>
      </w:r>
      <w:r w:rsidRPr="007B6699">
        <w:t>in NR</w:t>
      </w:r>
    </w:p>
    <w:p w14:paraId="57F7B032" w14:textId="6DA124BC" w:rsidR="00683EBF" w:rsidRDefault="007F73DA" w:rsidP="003350B5">
      <w:r>
        <w:lastRenderedPageBreak/>
        <w:t xml:space="preserve">Further, the XL slot </w:t>
      </w:r>
      <w:r w:rsidR="00683EBF">
        <w:t xml:space="preserve">with X symbols </w:t>
      </w:r>
      <w:r>
        <w:t xml:space="preserve">has a finer structure as well: </w:t>
      </w:r>
      <w:r w:rsidR="00683EBF">
        <w:t>It can have Y DL symbols at the beginning, Z UL symbols at the end and the remaining (middle) X-Y-Z are flexible symbols (i.e. schedulable as either). This is shown in Figure 5 below.</w:t>
      </w:r>
    </w:p>
    <w:p w14:paraId="1AC83078" w14:textId="0ACA9C94" w:rsidR="00683EBF" w:rsidRDefault="00683EBF" w:rsidP="009F0CB7">
      <w:pPr>
        <w:jc w:val="center"/>
      </w:pPr>
      <w:r>
        <w:rPr>
          <w:noProof/>
        </w:rPr>
        <w:drawing>
          <wp:inline distT="0" distB="0" distL="0" distR="0" wp14:anchorId="10B9DB71" wp14:editId="4CEC6AB1">
            <wp:extent cx="3891543" cy="26098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95172" cy="2612284"/>
                    </a:xfrm>
                    <a:prstGeom prst="rect">
                      <a:avLst/>
                    </a:prstGeom>
                    <a:noFill/>
                  </pic:spPr>
                </pic:pic>
              </a:graphicData>
            </a:graphic>
          </wp:inline>
        </w:drawing>
      </w:r>
    </w:p>
    <w:p w14:paraId="32BB8C7A" w14:textId="0DB0F96B" w:rsidR="00683EBF" w:rsidRDefault="00683EBF" w:rsidP="009F0CB7">
      <w:pPr>
        <w:pStyle w:val="TF"/>
      </w:pPr>
      <w:r w:rsidRPr="007B6699">
        <w:t xml:space="preserve">Figure </w:t>
      </w:r>
      <w:fldSimple w:instr=" SEQ Figure \* ARABIC ">
        <w:r>
          <w:rPr>
            <w:noProof/>
          </w:rPr>
          <w:t>5</w:t>
        </w:r>
      </w:fldSimple>
      <w:r w:rsidRPr="007B6699">
        <w:t xml:space="preserve">. </w:t>
      </w:r>
      <w:r>
        <w:t>Structure of XL configuration possibilities at symbol level</w:t>
      </w:r>
    </w:p>
    <w:p w14:paraId="59990A56" w14:textId="6AC222D7" w:rsidR="007B6699" w:rsidRDefault="00683EBF" w:rsidP="00CD4C7B">
      <w:r>
        <w:t xml:space="preserve">As can be seen, </w:t>
      </w:r>
      <w:r w:rsidR="00BF7B32">
        <w:t xml:space="preserve">Figure </w:t>
      </w:r>
      <w:r w:rsidR="00762804">
        <w:t>5</w:t>
      </w:r>
      <w:r w:rsidR="00BF7B32">
        <w:t xml:space="preserve"> bears a striking resemblance to the </w:t>
      </w:r>
      <w:r w:rsidR="00762804">
        <w:t>previous figures as well</w:t>
      </w:r>
      <w:r w:rsidR="00BF7B32">
        <w:t xml:space="preserve">: </w:t>
      </w:r>
      <w:r w:rsidR="00762804">
        <w:t xml:space="preserve">The same structure of DL+FL0UL repeats at the deeper level. </w:t>
      </w:r>
      <w:r w:rsidR="00BF7B32">
        <w:t xml:space="preserve">Thus, the dynamic TDD (configuration) behaviour is similar in both </w:t>
      </w:r>
      <w:r w:rsidR="00BF7B32" w:rsidRPr="00BF7B32">
        <w:rPr>
          <w:i/>
        </w:rPr>
        <w:t>slot</w:t>
      </w:r>
      <w:r w:rsidR="00BF7B32">
        <w:rPr>
          <w:b/>
        </w:rPr>
        <w:t xml:space="preserve"> </w:t>
      </w:r>
      <w:r w:rsidR="00BF7B32">
        <w:t xml:space="preserve">and </w:t>
      </w:r>
      <w:r w:rsidR="00BF7B32" w:rsidRPr="00BF7B32">
        <w:rPr>
          <w:b/>
        </w:rPr>
        <w:t>symbol</w:t>
      </w:r>
      <w:r w:rsidR="00BF7B32">
        <w:t xml:space="preserve"> level, with symbol level allowing further granularity not allowed by the slot level.</w:t>
      </w:r>
    </w:p>
    <w:p w14:paraId="52A32209" w14:textId="7F6BAA0C" w:rsidR="00BF7B32" w:rsidRDefault="00BF7B32" w:rsidP="00CD4C7B">
      <w:bookmarkStart w:id="1" w:name="_Hlk509907463"/>
      <w:r w:rsidRPr="00BF7B32">
        <w:rPr>
          <w:b/>
        </w:rPr>
        <w:t xml:space="preserve">Observation </w:t>
      </w:r>
      <w:r w:rsidR="00762804">
        <w:rPr>
          <w:b/>
        </w:rPr>
        <w:t>5</w:t>
      </w:r>
      <w:r w:rsidRPr="00BF7B32">
        <w:rPr>
          <w:b/>
        </w:rPr>
        <w:t>:</w:t>
      </w:r>
      <w:r>
        <w:t xml:space="preserve"> UE-specific TDD configuration allows re-defining some or all of the slots in the cell-specific TDD configuration.</w:t>
      </w:r>
      <w:bookmarkEnd w:id="1"/>
    </w:p>
    <w:p w14:paraId="3DE0F27B" w14:textId="5E04E9BA" w:rsidR="00BF7B32" w:rsidRDefault="00976B0C" w:rsidP="00BF7B32">
      <w:r>
        <w:rPr>
          <w:b/>
        </w:rPr>
        <w:t xml:space="preserve">Observation </w:t>
      </w:r>
      <w:r w:rsidR="00762804">
        <w:rPr>
          <w:b/>
        </w:rPr>
        <w:t>6</w:t>
      </w:r>
      <w:r w:rsidR="00BF7B32" w:rsidRPr="00BF7B32">
        <w:rPr>
          <w:b/>
        </w:rPr>
        <w:t>:</w:t>
      </w:r>
      <w:r w:rsidR="00BF7B32">
        <w:t xml:space="preserve"> UE-specific TDD configuration allows </w:t>
      </w:r>
      <w:r>
        <w:t>having flexible symbol structure for some slots while retaining a DL/UL-only symbols for some slots</w:t>
      </w:r>
      <w:r w:rsidR="00BF7B32">
        <w:t>.</w:t>
      </w:r>
    </w:p>
    <w:p w14:paraId="79A8400E" w14:textId="53256AA6" w:rsidR="00976B0C" w:rsidRDefault="00976B0C" w:rsidP="00976B0C">
      <w:pPr>
        <w:pStyle w:val="Heading2"/>
      </w:pPr>
      <w:r>
        <w:t>2.3</w:t>
      </w:r>
      <w:r w:rsidRPr="006E13D1">
        <w:tab/>
      </w:r>
      <w:r>
        <w:t>Slot Format Combinations</w:t>
      </w:r>
      <w:r w:rsidRPr="006E13D1">
        <w:t xml:space="preserve"> </w:t>
      </w:r>
    </w:p>
    <w:p w14:paraId="5D79473B" w14:textId="77F1EB0D" w:rsidR="00762804" w:rsidRDefault="00762804" w:rsidP="009F0CB7">
      <w:r>
        <w:t xml:space="preserve">The final piece of the TDD configuration comes from the Slot Format Combinations (SFC), which allow even further flexibility at scheduling level, allowing LTE eIMTA-like behaviour: The SFC can affect the (remaining) flexible link slots after the common and dedicated configuration. What the SFC does is to provide </w:t>
      </w:r>
    </w:p>
    <w:p w14:paraId="16D358D2" w14:textId="407BF1B2" w:rsidR="00762804" w:rsidRDefault="00762804" w:rsidP="009F0CB7">
      <w:r>
        <w:t>Continuing with the previous example, this is what the TDD configuration could look like if all levels (common, dedicated and SFC) are used:</w:t>
      </w:r>
    </w:p>
    <w:p w14:paraId="6DF42363" w14:textId="59F8BD23" w:rsidR="00762804" w:rsidRDefault="00762804" w:rsidP="009F0CB7">
      <w:r>
        <w:rPr>
          <w:noProof/>
        </w:rPr>
        <w:lastRenderedPageBreak/>
        <w:drawing>
          <wp:inline distT="0" distB="0" distL="0" distR="0" wp14:anchorId="50C7820B" wp14:editId="08E26D81">
            <wp:extent cx="5975308" cy="2955290"/>
            <wp:effectExtent l="0" t="0" r="698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76291" cy="2955776"/>
                    </a:xfrm>
                    <a:prstGeom prst="rect">
                      <a:avLst/>
                    </a:prstGeom>
                    <a:noFill/>
                  </pic:spPr>
                </pic:pic>
              </a:graphicData>
            </a:graphic>
          </wp:inline>
        </w:drawing>
      </w:r>
    </w:p>
    <w:p w14:paraId="6EDD2AEE" w14:textId="2FF8E239" w:rsidR="00697BF2" w:rsidRDefault="00697BF2" w:rsidP="00697BF2">
      <w:pPr>
        <w:pStyle w:val="TF"/>
      </w:pPr>
      <w:r w:rsidRPr="007B6699">
        <w:t xml:space="preserve">Figure </w:t>
      </w:r>
      <w:fldSimple w:instr=" SEQ Figure \* ARABIC ">
        <w:r>
          <w:rPr>
            <w:noProof/>
          </w:rPr>
          <w:t>5</w:t>
        </w:r>
      </w:fldSimple>
      <w:r w:rsidRPr="007B6699">
        <w:t xml:space="preserve">. </w:t>
      </w:r>
      <w:r>
        <w:t>Using SFC with common and dedicated TDD configurations</w:t>
      </w:r>
    </w:p>
    <w:p w14:paraId="4DB6F1DD" w14:textId="1DC77C8C" w:rsidR="00762804" w:rsidRDefault="00762804" w:rsidP="009F0CB7">
      <w:r>
        <w:t>Again, this is in fact a bit misleading since the SFCs can be configured for any slot, but only apply for the FL slots. However, in case both the common and dedicated configurations would be empty, the SFCs could span the entire TDD configuration window, allowing only SFC to be used (just like with all the other levels).</w:t>
      </w:r>
    </w:p>
    <w:p w14:paraId="571B0E0F" w14:textId="77777777" w:rsidR="00697BF2" w:rsidRDefault="00697BF2" w:rsidP="00697BF2">
      <w:r w:rsidRPr="007C44BA">
        <w:rPr>
          <w:b/>
        </w:rPr>
        <w:t>Observation 7:</w:t>
      </w:r>
      <w:r>
        <w:t xml:space="preserve"> SFC only affects the FL slots.</w:t>
      </w:r>
    </w:p>
    <w:p w14:paraId="07AD357C" w14:textId="51FE10E2" w:rsidR="00697BF2" w:rsidRDefault="00697BF2" w:rsidP="009F0CB7">
      <w:r>
        <w:t>The structure of the SFCs are slightly different than others, as they mimic the LTE eIMTA parts, and are listed in RAN1 specifications. From RAN2 viewpoint, the structure is that a number of combination sets can be configured, and then the SFI indications in L1 will determine which SF from which SFC is used.</w:t>
      </w:r>
    </w:p>
    <w:p w14:paraId="4EDF2023" w14:textId="73073E67" w:rsidR="00762804" w:rsidRDefault="00762804" w:rsidP="009F0CB7">
      <w:r>
        <w:rPr>
          <w:noProof/>
        </w:rPr>
        <w:drawing>
          <wp:inline distT="0" distB="0" distL="0" distR="0" wp14:anchorId="7151B956" wp14:editId="10E8A3AB">
            <wp:extent cx="6093511" cy="309181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9263" cy="3094734"/>
                    </a:xfrm>
                    <a:prstGeom prst="rect">
                      <a:avLst/>
                    </a:prstGeom>
                    <a:noFill/>
                  </pic:spPr>
                </pic:pic>
              </a:graphicData>
            </a:graphic>
          </wp:inline>
        </w:drawing>
      </w:r>
    </w:p>
    <w:p w14:paraId="4FCE557E" w14:textId="58F9A47C" w:rsidR="00697BF2" w:rsidRDefault="00697BF2" w:rsidP="00697BF2">
      <w:pPr>
        <w:pStyle w:val="TF"/>
      </w:pPr>
      <w:r w:rsidRPr="007B6699">
        <w:t xml:space="preserve">Figure </w:t>
      </w:r>
      <w:fldSimple w:instr=" SEQ Figure \* ARABIC ">
        <w:r>
          <w:rPr>
            <w:noProof/>
          </w:rPr>
          <w:t>5</w:t>
        </w:r>
      </w:fldSimple>
      <w:r w:rsidRPr="007B6699">
        <w:t xml:space="preserve">. </w:t>
      </w:r>
      <w:r>
        <w:t xml:space="preserve">Rough structure of SFC set </w:t>
      </w:r>
    </w:p>
    <w:p w14:paraId="2A2FE90C" w14:textId="77777777" w:rsidR="00762804" w:rsidRDefault="00762804" w:rsidP="009F0CB7"/>
    <w:p w14:paraId="4A5088E9" w14:textId="1CA5038C" w:rsidR="00762804" w:rsidRDefault="00762804" w:rsidP="00762804">
      <w:pPr>
        <w:pStyle w:val="Heading2"/>
      </w:pPr>
      <w:r>
        <w:lastRenderedPageBreak/>
        <w:t>2.4</w:t>
      </w:r>
      <w:r w:rsidRPr="006E13D1">
        <w:tab/>
      </w:r>
      <w:r>
        <w:t xml:space="preserve">Summary </w:t>
      </w:r>
    </w:p>
    <w:p w14:paraId="7D8DF72E" w14:textId="0DA522C3" w:rsidR="00762804" w:rsidRDefault="00762804" w:rsidP="009F0CB7">
      <w:r>
        <w:t>In summary, the TDD configuration can be depicted with a simple principle: All slots are initially flexible and are determined by scheduling (i.e. DCI). With each configuration aspect, constraints are placed on the flexibility, diminishing the scheduler choices but also reducing complexity, and allowing UE to make more assumptions on which slots/symbols will be scheduled as UL or DL.</w:t>
      </w:r>
      <w:r w:rsidR="00697BF2">
        <w:t xml:space="preserve"> Also, it is quite likely that all the levels are NOT used together: Instead, e.g. only common could be used., only dedicated could be used, or only SFCs could be used. That depends on operator decisions, and the signalling only allows options.</w:t>
      </w:r>
    </w:p>
    <w:p w14:paraId="425B36AF" w14:textId="11ED9A51" w:rsidR="00762804" w:rsidRPr="009F0CB7" w:rsidRDefault="00762804" w:rsidP="009F0CB7">
      <w:r w:rsidRPr="009F0CB7">
        <w:rPr>
          <w:b/>
        </w:rPr>
        <w:t>Observati</w:t>
      </w:r>
      <w:r w:rsidR="00697BF2" w:rsidRPr="009F0CB7">
        <w:rPr>
          <w:b/>
        </w:rPr>
        <w:t>o</w:t>
      </w:r>
      <w:r w:rsidRPr="009F0CB7">
        <w:rPr>
          <w:b/>
        </w:rPr>
        <w:t xml:space="preserve">n 8: </w:t>
      </w:r>
      <w:r w:rsidR="00697BF2">
        <w:t>NR TDD configuration allows for very flexibile operation, but it is likely that not all options are always used together</w:t>
      </w:r>
    </w:p>
    <w:p w14:paraId="5FF0E443" w14:textId="1689DFBB" w:rsidR="00CD4C7B" w:rsidRPr="006E13D1" w:rsidRDefault="00CD4C7B" w:rsidP="00CD4C7B">
      <w:pPr>
        <w:pStyle w:val="Heading1"/>
      </w:pPr>
      <w:r w:rsidRPr="006E13D1">
        <w:t>3</w:t>
      </w:r>
      <w:r w:rsidRPr="006E13D1">
        <w:tab/>
      </w:r>
      <w:r w:rsidR="00976B0C">
        <w:t>Signalling issues for TDD configuration</w:t>
      </w:r>
    </w:p>
    <w:p w14:paraId="3771C9CA" w14:textId="49EB746B" w:rsidR="00CD4C7B" w:rsidRPr="006E13D1" w:rsidRDefault="00CD4C7B" w:rsidP="00CD4C7B">
      <w:pPr>
        <w:pStyle w:val="Heading2"/>
      </w:pPr>
      <w:r w:rsidRPr="006E13D1">
        <w:t>3.1</w:t>
      </w:r>
      <w:r w:rsidRPr="006E13D1">
        <w:tab/>
      </w:r>
      <w:r w:rsidR="00976B0C">
        <w:t>Inclusions conditions for common/dedicated configurations</w:t>
      </w:r>
    </w:p>
    <w:p w14:paraId="6F0A0E89" w14:textId="2C5E2C34" w:rsidR="00976B0C" w:rsidRDefault="00976B0C" w:rsidP="00CD4C7B">
      <w:r>
        <w:t xml:space="preserve">Currently, both the </w:t>
      </w:r>
      <w:r w:rsidRPr="009F0CB7">
        <w:rPr>
          <w:i/>
        </w:rPr>
        <w:t>ServingCellConfigCommon</w:t>
      </w:r>
      <w:r>
        <w:t xml:space="preserve"> and </w:t>
      </w:r>
      <w:r w:rsidRPr="009F0CB7">
        <w:rPr>
          <w:i/>
        </w:rPr>
        <w:t>ServingCellConfig</w:t>
      </w:r>
      <w:r>
        <w:t xml:space="preserve"> indicate that Cond TDD is used for the common/dedicated TDD UL/DL configurations. However, the condition is not defined for either of the structures, making it difficult to see when the configurations are (not) allowed to be included, and what are the differences between common/dedicated configurations. This is shown in below excerpts from TS38.331, v15.1.0 (note that only the relevant fields are shown, the rest are cut out):</w:t>
      </w:r>
    </w:p>
    <w:p w14:paraId="33D2A168" w14:textId="77777777" w:rsidR="00976B0C" w:rsidRDefault="00976B0C" w:rsidP="00CD4C7B"/>
    <w:p w14:paraId="6E1C0FA7" w14:textId="77777777" w:rsidR="00976B0C" w:rsidRPr="00976B0C" w:rsidRDefault="00976B0C" w:rsidP="00976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6B0C">
        <w:rPr>
          <w:rFonts w:ascii="Courier New" w:eastAsia="Batang" w:hAnsi="Courier New"/>
          <w:noProof/>
          <w:sz w:val="16"/>
          <w:lang w:eastAsia="sv-SE"/>
        </w:rPr>
        <w:t>ServingCellConfigCommon ::=</w:t>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color w:val="993366"/>
          <w:sz w:val="16"/>
          <w:lang w:eastAsia="sv-SE"/>
        </w:rPr>
        <w:t>SEQUENCE</w:t>
      </w:r>
      <w:r w:rsidRPr="00976B0C">
        <w:rPr>
          <w:rFonts w:ascii="Courier New" w:eastAsia="Batang" w:hAnsi="Courier New"/>
          <w:noProof/>
          <w:sz w:val="16"/>
          <w:lang w:eastAsia="sv-SE"/>
        </w:rPr>
        <w:t xml:space="preserve"> {</w:t>
      </w:r>
    </w:p>
    <w:p w14:paraId="3CA5F2E0" w14:textId="77777777" w:rsidR="00976B0C" w:rsidRPr="00976B0C" w:rsidRDefault="00976B0C" w:rsidP="00976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6B0C">
        <w:rPr>
          <w:rFonts w:ascii="Courier New" w:eastAsia="Batang" w:hAnsi="Courier New"/>
          <w:noProof/>
          <w:sz w:val="16"/>
          <w:lang w:eastAsia="sv-SE"/>
        </w:rPr>
        <w:tab/>
      </w:r>
      <w:r w:rsidRPr="00976B0C">
        <w:rPr>
          <w:rFonts w:ascii="Courier New" w:eastAsia="Batang" w:hAnsi="Courier New"/>
          <w:noProof/>
          <w:color w:val="808080"/>
          <w:sz w:val="16"/>
          <w:lang w:eastAsia="sv-SE"/>
        </w:rPr>
        <w:t>-- A cell-specific TDD UL/DL configuration. Corresponds to L1 parameter 'UL-DL-configuration-common' (see 38.213, section 11.1)</w:t>
      </w:r>
    </w:p>
    <w:p w14:paraId="456346AE" w14:textId="77777777" w:rsidR="00976B0C" w:rsidRPr="00976B0C" w:rsidRDefault="00976B0C" w:rsidP="00976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6B0C">
        <w:rPr>
          <w:rFonts w:ascii="Courier New" w:eastAsia="Batang" w:hAnsi="Courier New"/>
          <w:noProof/>
          <w:sz w:val="16"/>
          <w:lang w:eastAsia="sv-SE"/>
        </w:rPr>
        <w:tab/>
        <w:t>tdd-UL-DL-ConfigurationCommon</w:t>
      </w:r>
      <w:r w:rsidRPr="00976B0C">
        <w:rPr>
          <w:rFonts w:ascii="Courier New" w:eastAsia="Batang" w:hAnsi="Courier New"/>
          <w:noProof/>
          <w:sz w:val="16"/>
          <w:lang w:eastAsia="sv-SE"/>
        </w:rPr>
        <w:tab/>
      </w:r>
      <w:r w:rsidRPr="00976B0C">
        <w:rPr>
          <w:rFonts w:ascii="Courier New" w:eastAsia="Batang" w:hAnsi="Courier New"/>
          <w:noProof/>
          <w:sz w:val="16"/>
          <w:lang w:eastAsia="sv-SE"/>
        </w:rPr>
        <w:tab/>
        <w:t>TDD-UL-DL-ConfigCommon</w:t>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color w:val="993366"/>
          <w:sz w:val="16"/>
          <w:lang w:eastAsia="sv-SE"/>
        </w:rPr>
        <w:t>OPTIONAL</w:t>
      </w:r>
      <w:r w:rsidRPr="00976B0C">
        <w:rPr>
          <w:rFonts w:ascii="Courier New" w:eastAsia="Batang" w:hAnsi="Courier New"/>
          <w:noProof/>
          <w:sz w:val="16"/>
          <w:lang w:eastAsia="sv-SE"/>
        </w:rPr>
        <w:t xml:space="preserve">, </w:t>
      </w:r>
      <w:r w:rsidRPr="00976B0C">
        <w:rPr>
          <w:rFonts w:ascii="Courier New" w:eastAsia="Batang" w:hAnsi="Courier New"/>
          <w:noProof/>
          <w:color w:val="808080"/>
          <w:sz w:val="16"/>
          <w:highlight w:val="yellow"/>
          <w:lang w:eastAsia="sv-SE"/>
        </w:rPr>
        <w:t>-- Cond TDD</w:t>
      </w:r>
    </w:p>
    <w:p w14:paraId="0C9B49BF" w14:textId="77777777" w:rsidR="00976B0C" w:rsidRPr="00976B0C" w:rsidRDefault="00976B0C" w:rsidP="00976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6B0C">
        <w:rPr>
          <w:rFonts w:ascii="Courier New" w:eastAsia="Batang" w:hAnsi="Courier New"/>
          <w:noProof/>
          <w:sz w:val="16"/>
          <w:lang w:eastAsia="sv-SE"/>
        </w:rPr>
        <w:tab/>
      </w:r>
      <w:r w:rsidRPr="00976B0C">
        <w:rPr>
          <w:rFonts w:ascii="Courier New" w:eastAsia="Batang" w:hAnsi="Courier New"/>
          <w:noProof/>
          <w:color w:val="808080"/>
          <w:sz w:val="16"/>
          <w:lang w:eastAsia="sv-SE"/>
        </w:rPr>
        <w:t xml:space="preserve">-- A second cell-specific TDD UL/DL configuration. When tdd-UL-DL-ConfigurationCommon2 is configured, the cell specific DL/UL </w:t>
      </w:r>
    </w:p>
    <w:p w14:paraId="3C68D145" w14:textId="77777777" w:rsidR="00976B0C" w:rsidRPr="00976B0C" w:rsidRDefault="00976B0C" w:rsidP="00976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6B0C">
        <w:rPr>
          <w:rFonts w:ascii="Courier New" w:eastAsia="Batang" w:hAnsi="Courier New"/>
          <w:noProof/>
          <w:sz w:val="16"/>
          <w:lang w:eastAsia="sv-SE"/>
        </w:rPr>
        <w:tab/>
      </w:r>
      <w:r w:rsidRPr="00976B0C">
        <w:rPr>
          <w:rFonts w:ascii="Courier New" w:eastAsia="Batang" w:hAnsi="Courier New"/>
          <w:noProof/>
          <w:color w:val="808080"/>
          <w:sz w:val="16"/>
          <w:lang w:eastAsia="sv-SE"/>
        </w:rPr>
        <w:t xml:space="preserve">-- pattern is a concatenation of the pattern specified in tdd-UL-DL-ConfigurationCommon and the pattern specified in </w:t>
      </w:r>
    </w:p>
    <w:p w14:paraId="1C311657" w14:textId="77777777" w:rsidR="00976B0C" w:rsidRPr="00976B0C" w:rsidRDefault="00976B0C" w:rsidP="00976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6B0C">
        <w:rPr>
          <w:rFonts w:ascii="Courier New" w:eastAsia="Batang" w:hAnsi="Courier New"/>
          <w:noProof/>
          <w:sz w:val="16"/>
          <w:lang w:eastAsia="sv-SE"/>
        </w:rPr>
        <w:tab/>
      </w:r>
      <w:r w:rsidRPr="00976B0C">
        <w:rPr>
          <w:rFonts w:ascii="Courier New" w:eastAsia="Batang" w:hAnsi="Courier New"/>
          <w:noProof/>
          <w:color w:val="808080"/>
          <w:sz w:val="16"/>
          <w:lang w:eastAsia="sv-SE"/>
        </w:rPr>
        <w:t>-- tdd-UL-DL-ConfigurationCommon2. Corresponds to L1 parameter 'UL-DL-configuration-common-Set2' (see 38.211, section 11.1)</w:t>
      </w:r>
    </w:p>
    <w:p w14:paraId="2232CC04" w14:textId="77777777" w:rsidR="00976B0C" w:rsidRPr="00976B0C" w:rsidRDefault="00976B0C" w:rsidP="00976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6B0C">
        <w:rPr>
          <w:rFonts w:ascii="Courier New" w:eastAsia="Batang" w:hAnsi="Courier New"/>
          <w:noProof/>
          <w:sz w:val="16"/>
          <w:lang w:eastAsia="sv-SE"/>
        </w:rPr>
        <w:tab/>
        <w:t>tdd-UL-DL-ConfigurationCommon2</w:t>
      </w:r>
      <w:r w:rsidRPr="00976B0C">
        <w:rPr>
          <w:rFonts w:ascii="Courier New" w:eastAsia="Batang" w:hAnsi="Courier New"/>
          <w:noProof/>
          <w:sz w:val="16"/>
          <w:lang w:eastAsia="sv-SE"/>
        </w:rPr>
        <w:tab/>
      </w:r>
      <w:r w:rsidRPr="00976B0C">
        <w:rPr>
          <w:rFonts w:ascii="Courier New" w:eastAsia="Batang" w:hAnsi="Courier New"/>
          <w:noProof/>
          <w:sz w:val="16"/>
          <w:lang w:eastAsia="sv-SE"/>
        </w:rPr>
        <w:tab/>
        <w:t>TDD-UL-DL-ConfigCommon</w:t>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color w:val="993366"/>
          <w:sz w:val="16"/>
          <w:lang w:eastAsia="sv-SE"/>
        </w:rPr>
        <w:t>OPTIONAL</w:t>
      </w:r>
      <w:r w:rsidRPr="00976B0C">
        <w:rPr>
          <w:rFonts w:ascii="Courier New" w:eastAsia="Batang" w:hAnsi="Courier New"/>
          <w:noProof/>
          <w:sz w:val="16"/>
          <w:lang w:eastAsia="sv-SE"/>
        </w:rPr>
        <w:t xml:space="preserve">, </w:t>
      </w:r>
      <w:r w:rsidRPr="00976B0C">
        <w:rPr>
          <w:rFonts w:ascii="Courier New" w:eastAsia="Batang" w:hAnsi="Courier New"/>
          <w:noProof/>
          <w:color w:val="808080"/>
          <w:sz w:val="16"/>
          <w:highlight w:val="yellow"/>
          <w:lang w:eastAsia="sv-SE"/>
        </w:rPr>
        <w:t>-- Cond TDD</w:t>
      </w:r>
    </w:p>
    <w:p w14:paraId="2F49640B" w14:textId="5E3AFB2C" w:rsidR="00976B0C" w:rsidRDefault="00976B0C" w:rsidP="00976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6B0C">
        <w:rPr>
          <w:rFonts w:ascii="Courier New" w:eastAsia="Batang" w:hAnsi="Courier New"/>
          <w:noProof/>
          <w:sz w:val="16"/>
          <w:lang w:eastAsia="sv-SE"/>
        </w:rPr>
        <w:t>}</w:t>
      </w:r>
    </w:p>
    <w:p w14:paraId="17C2AFA9" w14:textId="77777777" w:rsidR="00976B0C" w:rsidRPr="00976B0C" w:rsidRDefault="00976B0C" w:rsidP="00976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7E8C8A6" w14:textId="77777777" w:rsidR="00976B0C" w:rsidRPr="00976B0C" w:rsidRDefault="00976B0C" w:rsidP="00976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976B0C">
        <w:rPr>
          <w:rFonts w:ascii="Courier New" w:eastAsia="Batang" w:hAnsi="Courier New"/>
          <w:noProof/>
          <w:sz w:val="16"/>
          <w:lang w:eastAsia="sv-SE"/>
        </w:rPr>
        <w:t>ServingCellConfig ::=</w:t>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color w:val="993366"/>
          <w:sz w:val="16"/>
          <w:lang w:eastAsia="sv-SE"/>
        </w:rPr>
        <w:t>SEQUENCE</w:t>
      </w:r>
      <w:r w:rsidRPr="00976B0C">
        <w:rPr>
          <w:rFonts w:ascii="Courier New" w:eastAsia="Batang" w:hAnsi="Courier New"/>
          <w:noProof/>
          <w:sz w:val="16"/>
          <w:lang w:eastAsia="sv-SE"/>
        </w:rPr>
        <w:t xml:space="preserve"> {</w:t>
      </w:r>
    </w:p>
    <w:p w14:paraId="4F1641F5" w14:textId="77777777" w:rsidR="00976B0C" w:rsidRPr="00976B0C" w:rsidRDefault="00976B0C" w:rsidP="00976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976B0C">
        <w:rPr>
          <w:rFonts w:ascii="Courier New" w:eastAsia="Batang" w:hAnsi="Courier New"/>
          <w:noProof/>
          <w:sz w:val="16"/>
          <w:lang w:eastAsia="sv-SE"/>
        </w:rPr>
        <w:tab/>
        <w:t>tdd-UL-DL-ConfigurationDedicated</w:t>
      </w:r>
      <w:r w:rsidRPr="00976B0C">
        <w:rPr>
          <w:rFonts w:ascii="Courier New" w:eastAsia="Batang" w:hAnsi="Courier New"/>
          <w:noProof/>
          <w:sz w:val="16"/>
          <w:lang w:eastAsia="sv-SE"/>
        </w:rPr>
        <w:tab/>
        <w:t>TDD-UL-DL-ConfigDedicated</w:t>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sz w:val="16"/>
          <w:lang w:eastAsia="sv-SE"/>
        </w:rPr>
        <w:tab/>
      </w:r>
      <w:r w:rsidRPr="00976B0C">
        <w:rPr>
          <w:rFonts w:ascii="Courier New" w:eastAsia="Batang" w:hAnsi="Courier New"/>
          <w:noProof/>
          <w:color w:val="993366"/>
          <w:sz w:val="16"/>
          <w:lang w:eastAsia="sv-SE"/>
        </w:rPr>
        <w:t>OPTIONAL</w:t>
      </w:r>
      <w:r w:rsidRPr="00976B0C">
        <w:rPr>
          <w:rFonts w:ascii="Courier New" w:eastAsia="Batang" w:hAnsi="Courier New"/>
          <w:noProof/>
          <w:sz w:val="16"/>
          <w:lang w:eastAsia="sv-SE"/>
        </w:rPr>
        <w:t xml:space="preserve">, </w:t>
      </w:r>
      <w:r w:rsidRPr="00976B0C">
        <w:rPr>
          <w:rFonts w:ascii="Courier New" w:eastAsia="Batang" w:hAnsi="Courier New"/>
          <w:noProof/>
          <w:color w:val="808080"/>
          <w:sz w:val="16"/>
          <w:highlight w:val="green"/>
          <w:lang w:eastAsia="sv-SE"/>
        </w:rPr>
        <w:t>-- Cond TDD</w:t>
      </w:r>
    </w:p>
    <w:p w14:paraId="23ED35F0" w14:textId="22D9B6B8" w:rsidR="00976B0C" w:rsidRPr="00976B0C" w:rsidRDefault="00976B0C" w:rsidP="00976B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w:t>
      </w:r>
    </w:p>
    <w:p w14:paraId="7704CE05" w14:textId="0E608DC8" w:rsidR="00976B0C" w:rsidRDefault="00976B0C" w:rsidP="00CD4C7B"/>
    <w:p w14:paraId="5DC5EF9E" w14:textId="316EC0DB" w:rsidR="00976B0C" w:rsidRDefault="00976B0C" w:rsidP="00CD4C7B">
      <w:r w:rsidRPr="00976B0C">
        <w:rPr>
          <w:b/>
        </w:rPr>
        <w:t>Proposal 1:</w:t>
      </w:r>
      <w:r>
        <w:t xml:space="preserve"> Define Cond TDD for both common and dedicated TDD configurations</w:t>
      </w:r>
      <w:r w:rsidR="00631A1A">
        <w:t>.</w:t>
      </w:r>
    </w:p>
    <w:p w14:paraId="7E6073C7" w14:textId="4FC434DA" w:rsidR="00631A1A" w:rsidRPr="006E13D1" w:rsidRDefault="00631A1A" w:rsidP="00631A1A">
      <w:pPr>
        <w:pStyle w:val="Heading2"/>
      </w:pPr>
      <w:r w:rsidRPr="006E13D1">
        <w:t>3.</w:t>
      </w:r>
      <w:r>
        <w:t>2</w:t>
      </w:r>
      <w:r w:rsidRPr="006E13D1">
        <w:tab/>
      </w:r>
      <w:r>
        <w:t xml:space="preserve">Configuration of </w:t>
      </w:r>
      <w:r w:rsidRPr="00631A1A">
        <w:rPr>
          <w:i/>
        </w:rPr>
        <w:t>SubCarrierSpacing</w:t>
      </w:r>
      <w:r>
        <w:t xml:space="preserve"> in TDD configuration</w:t>
      </w:r>
    </w:p>
    <w:p w14:paraId="58D779A7" w14:textId="7B38F9A8" w:rsidR="00631A1A" w:rsidRDefault="00631A1A" w:rsidP="00631A1A">
      <w:r>
        <w:t xml:space="preserve">Both </w:t>
      </w:r>
      <w:r w:rsidRPr="00631A1A">
        <w:rPr>
          <w:i/>
        </w:rPr>
        <w:t>ServingCellConfigCommon</w:t>
      </w:r>
      <w:r>
        <w:t xml:space="preserve"> and </w:t>
      </w:r>
      <w:r w:rsidRPr="00631A1A">
        <w:rPr>
          <w:i/>
        </w:rPr>
        <w:t>TDD-UL-DL-Config</w:t>
      </w:r>
      <w:r>
        <w:t xml:space="preserve"> include SCS parameter,</w:t>
      </w:r>
    </w:p>
    <w:p w14:paraId="62D52AA3" w14:textId="77777777" w:rsidR="00631A1A" w:rsidRPr="00631A1A" w:rsidRDefault="00631A1A" w:rsidP="00631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31A1A">
        <w:rPr>
          <w:rFonts w:ascii="Courier New" w:eastAsia="Batang" w:hAnsi="Courier New"/>
          <w:noProof/>
          <w:sz w:val="16"/>
          <w:lang w:eastAsia="sv-SE"/>
        </w:rPr>
        <w:t>ServingCellConfigCommon ::=</w:t>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color w:val="993366"/>
          <w:sz w:val="16"/>
          <w:lang w:eastAsia="sv-SE"/>
        </w:rPr>
        <w:t>SEQUENCE</w:t>
      </w:r>
      <w:r w:rsidRPr="00631A1A">
        <w:rPr>
          <w:rFonts w:ascii="Courier New" w:eastAsia="Batang" w:hAnsi="Courier New"/>
          <w:noProof/>
          <w:sz w:val="16"/>
          <w:lang w:eastAsia="sv-SE"/>
        </w:rPr>
        <w:t xml:space="preserve"> {</w:t>
      </w:r>
    </w:p>
    <w:p w14:paraId="253574AE" w14:textId="0B0E9591" w:rsidR="00631A1A" w:rsidRPr="00631A1A" w:rsidRDefault="00631A1A" w:rsidP="00631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31A1A">
        <w:rPr>
          <w:rFonts w:ascii="Courier New" w:eastAsia="Batang" w:hAnsi="Courier New"/>
          <w:noProof/>
          <w:sz w:val="16"/>
          <w:lang w:eastAsia="sv-SE"/>
        </w:rPr>
        <w:tab/>
        <w:t>physCellId</w:t>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t>PhysCellId</w:t>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p>
    <w:p w14:paraId="0ECA0810" w14:textId="77777777" w:rsidR="00631A1A" w:rsidRPr="00631A1A" w:rsidRDefault="00631A1A" w:rsidP="00631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31A1A">
        <w:rPr>
          <w:rFonts w:ascii="Courier New" w:eastAsia="Batang" w:hAnsi="Courier New"/>
          <w:noProof/>
          <w:sz w:val="16"/>
          <w:lang w:eastAsia="sv-SE"/>
        </w:rPr>
        <w:tab/>
      </w:r>
      <w:r w:rsidRPr="00631A1A">
        <w:rPr>
          <w:rFonts w:ascii="Courier New" w:eastAsia="Batang" w:hAnsi="Courier New"/>
          <w:noProof/>
          <w:color w:val="808080"/>
          <w:sz w:val="16"/>
          <w:lang w:eastAsia="sv-SE"/>
        </w:rPr>
        <w:t>-- Subcarrier spacing of SSB. Used only for non-initial access (e.g. SCells, PCell of SCG).</w:t>
      </w:r>
    </w:p>
    <w:p w14:paraId="77A400E9" w14:textId="77777777" w:rsidR="00631A1A" w:rsidRPr="00631A1A" w:rsidRDefault="00631A1A" w:rsidP="00631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31A1A">
        <w:rPr>
          <w:rFonts w:ascii="Courier New" w:eastAsia="Batang" w:hAnsi="Courier New"/>
          <w:noProof/>
          <w:sz w:val="16"/>
          <w:lang w:eastAsia="sv-SE"/>
        </w:rPr>
        <w:tab/>
      </w:r>
      <w:r w:rsidRPr="00631A1A">
        <w:rPr>
          <w:rFonts w:ascii="Courier New" w:eastAsia="Batang" w:hAnsi="Courier New"/>
          <w:noProof/>
          <w:color w:val="808080"/>
          <w:sz w:val="16"/>
          <w:lang w:eastAsia="sv-SE"/>
        </w:rPr>
        <w:t xml:space="preserve">-- If the field is absent the UE shall assume the default value of the band. </w:t>
      </w:r>
    </w:p>
    <w:p w14:paraId="69C3E633" w14:textId="77777777" w:rsidR="00631A1A" w:rsidRPr="00631A1A" w:rsidRDefault="00631A1A" w:rsidP="00631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31A1A">
        <w:rPr>
          <w:rFonts w:ascii="Courier New" w:eastAsia="Batang" w:hAnsi="Courier New"/>
          <w:noProof/>
          <w:sz w:val="16"/>
          <w:lang w:eastAsia="sv-SE"/>
        </w:rPr>
        <w:tab/>
      </w:r>
      <w:r w:rsidRPr="00631A1A">
        <w:rPr>
          <w:rFonts w:ascii="Courier New" w:eastAsia="Batang" w:hAnsi="Courier New"/>
          <w:noProof/>
          <w:color w:val="808080"/>
          <w:sz w:val="16"/>
          <w:lang w:eastAsia="sv-SE"/>
        </w:rPr>
        <w:t>-- Only the values 15 or 30 kHz (&lt;6GHz), 120 or 240 kHz (&gt;6GHz) are applicable.</w:t>
      </w:r>
    </w:p>
    <w:p w14:paraId="1B632099" w14:textId="5E7510FA" w:rsidR="00631A1A" w:rsidRDefault="00631A1A" w:rsidP="00631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31A1A">
        <w:rPr>
          <w:rFonts w:ascii="Courier New" w:eastAsia="Batang" w:hAnsi="Courier New"/>
          <w:noProof/>
          <w:sz w:val="16"/>
          <w:lang w:eastAsia="sv-SE"/>
        </w:rPr>
        <w:tab/>
        <w:t>subcarrierSpacing</w:t>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t>SubcarrierSpacing</w:t>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color w:val="993366"/>
          <w:sz w:val="16"/>
          <w:lang w:eastAsia="sv-SE"/>
        </w:rPr>
        <w:t>OPTIONAL</w:t>
      </w:r>
      <w:r w:rsidRPr="00631A1A">
        <w:rPr>
          <w:rFonts w:ascii="Courier New" w:eastAsia="Batang" w:hAnsi="Courier New"/>
          <w:noProof/>
          <w:sz w:val="16"/>
          <w:lang w:eastAsia="sv-SE"/>
        </w:rPr>
        <w:t xml:space="preserve">, </w:t>
      </w:r>
      <w:r w:rsidRPr="00631A1A">
        <w:rPr>
          <w:rFonts w:ascii="Courier New" w:eastAsia="Batang" w:hAnsi="Courier New"/>
          <w:noProof/>
          <w:color w:val="808080"/>
          <w:sz w:val="16"/>
          <w:lang w:eastAsia="sv-SE"/>
        </w:rPr>
        <w:t>-- Need S</w:t>
      </w:r>
    </w:p>
    <w:p w14:paraId="329B82FA" w14:textId="12FC77A1" w:rsidR="00631A1A" w:rsidRPr="00631A1A" w:rsidRDefault="00631A1A" w:rsidP="00631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b/>
          <w:noProof/>
          <w:color w:val="808080"/>
          <w:sz w:val="16"/>
          <w:lang w:eastAsia="sv-SE"/>
        </w:rPr>
      </w:pPr>
      <w:r>
        <w:rPr>
          <w:rFonts w:ascii="Courier New" w:eastAsia="Batang" w:hAnsi="Courier New"/>
          <w:noProof/>
          <w:sz w:val="16"/>
          <w:lang w:eastAsia="sv-SE"/>
        </w:rPr>
        <w:t>}</w:t>
      </w:r>
    </w:p>
    <w:p w14:paraId="15716604" w14:textId="77777777" w:rsidR="00631A1A" w:rsidRDefault="00631A1A" w:rsidP="00631A1A"/>
    <w:p w14:paraId="760416B1" w14:textId="77777777" w:rsidR="00631A1A" w:rsidRPr="00631A1A" w:rsidRDefault="00631A1A" w:rsidP="00631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31A1A">
        <w:rPr>
          <w:rFonts w:ascii="Courier New" w:eastAsia="Batang" w:hAnsi="Courier New"/>
          <w:noProof/>
          <w:sz w:val="16"/>
          <w:lang w:eastAsia="sv-SE"/>
        </w:rPr>
        <w:t>TDD-UL-DL-ConfigCommon ::=</w:t>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color w:val="993366"/>
          <w:sz w:val="16"/>
          <w:lang w:eastAsia="sv-SE"/>
        </w:rPr>
        <w:t>SEQUENCE</w:t>
      </w:r>
      <w:r w:rsidRPr="00631A1A">
        <w:rPr>
          <w:rFonts w:ascii="Courier New" w:eastAsia="Batang" w:hAnsi="Courier New"/>
          <w:noProof/>
          <w:sz w:val="16"/>
          <w:lang w:eastAsia="sv-SE"/>
        </w:rPr>
        <w:t xml:space="preserve"> {</w:t>
      </w:r>
    </w:p>
    <w:p w14:paraId="15E78482" w14:textId="77777777" w:rsidR="00631A1A" w:rsidRPr="00631A1A" w:rsidRDefault="00631A1A" w:rsidP="00631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31A1A">
        <w:rPr>
          <w:rFonts w:ascii="Courier New" w:eastAsia="Batang" w:hAnsi="Courier New"/>
          <w:noProof/>
          <w:sz w:val="16"/>
          <w:lang w:eastAsia="sv-SE"/>
        </w:rPr>
        <w:tab/>
      </w:r>
      <w:r w:rsidRPr="00631A1A">
        <w:rPr>
          <w:rFonts w:ascii="Courier New" w:eastAsia="Batang" w:hAnsi="Courier New"/>
          <w:noProof/>
          <w:color w:val="808080"/>
          <w:sz w:val="16"/>
          <w:lang w:eastAsia="sv-SE"/>
        </w:rPr>
        <w:t>-- Reference SCS used to determine the time domain boundaries in the UL-DL pattern which must be common across all subcarrier specific</w:t>
      </w:r>
    </w:p>
    <w:p w14:paraId="6DD31A9C" w14:textId="77777777" w:rsidR="00631A1A" w:rsidRPr="00631A1A" w:rsidRDefault="00631A1A" w:rsidP="00631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31A1A">
        <w:rPr>
          <w:rFonts w:ascii="Courier New" w:eastAsia="Batang" w:hAnsi="Courier New"/>
          <w:noProof/>
          <w:sz w:val="16"/>
          <w:lang w:eastAsia="sv-SE"/>
        </w:rPr>
        <w:tab/>
      </w:r>
      <w:r w:rsidRPr="00631A1A">
        <w:rPr>
          <w:rFonts w:ascii="Courier New" w:eastAsia="Batang" w:hAnsi="Courier New"/>
          <w:noProof/>
          <w:color w:val="808080"/>
          <w:sz w:val="16"/>
          <w:lang w:eastAsia="sv-SE"/>
        </w:rPr>
        <w:t xml:space="preserve">-- virtual carriers, i.e., independent of the actual subcarrier spacing using for data transmission. </w:t>
      </w:r>
    </w:p>
    <w:p w14:paraId="56B0B307" w14:textId="77777777" w:rsidR="00631A1A" w:rsidRPr="00631A1A" w:rsidRDefault="00631A1A" w:rsidP="00631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31A1A">
        <w:rPr>
          <w:rFonts w:ascii="Courier New" w:eastAsia="Batang" w:hAnsi="Courier New"/>
          <w:noProof/>
          <w:sz w:val="16"/>
          <w:lang w:eastAsia="sv-SE"/>
        </w:rPr>
        <w:tab/>
      </w:r>
      <w:r w:rsidRPr="00631A1A">
        <w:rPr>
          <w:rFonts w:ascii="Courier New" w:eastAsia="Batang" w:hAnsi="Courier New"/>
          <w:noProof/>
          <w:color w:val="808080"/>
          <w:sz w:val="16"/>
          <w:lang w:eastAsia="sv-SE"/>
        </w:rPr>
        <w:t>-- Only the values 15 or 30 kHz  (&lt;6GHz), 60 or 120 kHz (&gt;6GHz) are applicable.</w:t>
      </w:r>
    </w:p>
    <w:p w14:paraId="53D10429" w14:textId="77777777" w:rsidR="00631A1A" w:rsidRPr="00631A1A" w:rsidRDefault="00631A1A" w:rsidP="00631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31A1A">
        <w:rPr>
          <w:rFonts w:ascii="Courier New" w:eastAsia="Batang" w:hAnsi="Courier New"/>
          <w:noProof/>
          <w:sz w:val="16"/>
          <w:lang w:eastAsia="sv-SE"/>
        </w:rPr>
        <w:tab/>
      </w:r>
      <w:r w:rsidRPr="00631A1A">
        <w:rPr>
          <w:rFonts w:ascii="Courier New" w:eastAsia="Batang" w:hAnsi="Courier New"/>
          <w:noProof/>
          <w:color w:val="808080"/>
          <w:sz w:val="16"/>
          <w:lang w:eastAsia="sv-SE"/>
        </w:rPr>
        <w:t>-- Corresponds to L1 parameter 'reference-SCS' (see 38.211, section FFS_Section)</w:t>
      </w:r>
    </w:p>
    <w:p w14:paraId="149972F6" w14:textId="4C19241B" w:rsidR="00631A1A" w:rsidRDefault="00631A1A" w:rsidP="00631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31A1A">
        <w:rPr>
          <w:rFonts w:ascii="Courier New" w:eastAsia="Batang" w:hAnsi="Courier New"/>
          <w:noProof/>
          <w:sz w:val="16"/>
          <w:lang w:eastAsia="sv-SE"/>
        </w:rPr>
        <w:tab/>
        <w:t>referenceSubcarrierSpacing</w:t>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t>SubcarrierSpacing</w:t>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sz w:val="16"/>
          <w:lang w:eastAsia="sv-SE"/>
        </w:rPr>
        <w:tab/>
      </w:r>
      <w:r w:rsidRPr="00631A1A">
        <w:rPr>
          <w:rFonts w:ascii="Courier New" w:eastAsia="Batang" w:hAnsi="Courier New"/>
          <w:noProof/>
          <w:color w:val="993366"/>
          <w:sz w:val="16"/>
          <w:lang w:eastAsia="sv-SE"/>
        </w:rPr>
        <w:t>OPTIONAL</w:t>
      </w:r>
      <w:r w:rsidRPr="00631A1A">
        <w:rPr>
          <w:rFonts w:ascii="Courier New" w:eastAsia="Batang" w:hAnsi="Courier New"/>
          <w:noProof/>
          <w:sz w:val="16"/>
          <w:lang w:eastAsia="sv-SE"/>
        </w:rPr>
        <w:t>,</w:t>
      </w:r>
    </w:p>
    <w:p w14:paraId="07B62057" w14:textId="71036578" w:rsidR="00631A1A" w:rsidRPr="00631A1A" w:rsidRDefault="00631A1A" w:rsidP="00631A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lastRenderedPageBreak/>
        <w:t>}</w:t>
      </w:r>
    </w:p>
    <w:p w14:paraId="7969D11C" w14:textId="6B881209" w:rsidR="00631A1A" w:rsidRDefault="00631A1A" w:rsidP="00631A1A"/>
    <w:p w14:paraId="5E28CEA4" w14:textId="77777777" w:rsidR="00631A1A" w:rsidRDefault="00631A1A" w:rsidP="00631A1A"/>
    <w:p w14:paraId="0EFD2029" w14:textId="126300EA" w:rsidR="00631A1A" w:rsidRDefault="00631A1A" w:rsidP="00631A1A">
      <w:r>
        <w:rPr>
          <w:b/>
        </w:rPr>
        <w:t>Proposal 2</w:t>
      </w:r>
      <w:r w:rsidRPr="00631A1A">
        <w:rPr>
          <w:b/>
        </w:rPr>
        <w:t>:</w:t>
      </w:r>
      <w:r>
        <w:t xml:space="preserve"> Clarify how the SCS is configured between </w:t>
      </w:r>
      <w:r w:rsidRPr="00631A1A">
        <w:rPr>
          <w:i/>
        </w:rPr>
        <w:t>ServingCellConfigCommon</w:t>
      </w:r>
      <w:r>
        <w:t xml:space="preserve"> and </w:t>
      </w:r>
      <w:r w:rsidRPr="00631A1A">
        <w:rPr>
          <w:i/>
        </w:rPr>
        <w:t>TDD-UL-DL-Config</w:t>
      </w:r>
      <w:r>
        <w:t xml:space="preserve">. </w:t>
      </w:r>
    </w:p>
    <w:p w14:paraId="2096C7C5" w14:textId="4E3ED9EC" w:rsidR="00631A1A" w:rsidRDefault="00631A1A" w:rsidP="00631A1A">
      <w:r>
        <w:t>Furtherm BWPs also allow SCS parameter to be signalled, so a clarification seems necessary as to how TDD configurations are used with BWPs that are using different SCS than that given in common or dedicated signalling.</w:t>
      </w:r>
    </w:p>
    <w:p w14:paraId="2F9983F7" w14:textId="7B26D916" w:rsidR="00631A1A" w:rsidRDefault="00631A1A" w:rsidP="00631A1A">
      <w:r>
        <w:rPr>
          <w:b/>
        </w:rPr>
        <w:t>Proposal 3</w:t>
      </w:r>
      <w:r w:rsidRPr="00631A1A">
        <w:rPr>
          <w:b/>
        </w:rPr>
        <w:t>:</w:t>
      </w:r>
      <w:r>
        <w:t xml:space="preserve"> Clarify how the SCS is handled between BWP configurations, </w:t>
      </w:r>
      <w:r w:rsidRPr="00631A1A">
        <w:rPr>
          <w:i/>
        </w:rPr>
        <w:t>ServingCellConfigCommon</w:t>
      </w:r>
      <w:r>
        <w:t xml:space="preserve"> and </w:t>
      </w:r>
      <w:r w:rsidRPr="00631A1A">
        <w:rPr>
          <w:i/>
        </w:rPr>
        <w:t>TDD-UL-DL-Config</w:t>
      </w:r>
      <w:r>
        <w:t xml:space="preserve">. </w:t>
      </w:r>
    </w:p>
    <w:p w14:paraId="5A7E381B" w14:textId="5FF6C131" w:rsidR="00CD4C7B" w:rsidRPr="006E13D1" w:rsidRDefault="00CD4C7B" w:rsidP="00CD4C7B">
      <w:pPr>
        <w:pStyle w:val="Heading2"/>
      </w:pPr>
      <w:r w:rsidRPr="006E13D1">
        <w:t>3.</w:t>
      </w:r>
      <w:r w:rsidR="00631A1A">
        <w:t>3</w:t>
      </w:r>
      <w:r w:rsidRPr="006E13D1">
        <w:tab/>
      </w:r>
      <w:r w:rsidR="00976B0C">
        <w:t>Field descriptions</w:t>
      </w:r>
    </w:p>
    <w:p w14:paraId="2A9E0A9A" w14:textId="77777777" w:rsidR="00976B0C" w:rsidRDefault="00976B0C" w:rsidP="00CD4C7B">
      <w:r>
        <w:t xml:space="preserve">It was agreed in RAN2#100 that the comments in ASN.1 would be moved to field descriptions. However, due to the effort needed to complete the specifications, this could not be done on time. </w:t>
      </w:r>
    </w:p>
    <w:p w14:paraId="64F7EE09" w14:textId="22355A6E" w:rsidR="00976B0C" w:rsidRDefault="00631A1A" w:rsidP="00CD4C7B">
      <w:r>
        <w:rPr>
          <w:b/>
        </w:rPr>
        <w:t>Proposal 4</w:t>
      </w:r>
      <w:r w:rsidR="00976B0C" w:rsidRPr="00631A1A">
        <w:rPr>
          <w:b/>
        </w:rPr>
        <w:t>:</w:t>
      </w:r>
      <w:r w:rsidR="00976B0C">
        <w:t xml:space="preserve"> </w:t>
      </w:r>
      <w:r>
        <w:t xml:space="preserve">Create field descriptions out of the comments in </w:t>
      </w:r>
      <w:r w:rsidRPr="002557D4">
        <w:rPr>
          <w:i/>
        </w:rPr>
        <w:t>ServingCellConfigCommon</w:t>
      </w:r>
      <w:r>
        <w:t xml:space="preserve">, </w:t>
      </w:r>
      <w:r w:rsidRPr="002557D4">
        <w:rPr>
          <w:i/>
        </w:rPr>
        <w:t>ServingCellConfig</w:t>
      </w:r>
      <w:r>
        <w:t xml:space="preserve">, </w:t>
      </w:r>
      <w:r w:rsidRPr="002557D4">
        <w:rPr>
          <w:i/>
        </w:rPr>
        <w:t>TDD-UL-DL-Config</w:t>
      </w:r>
      <w:r>
        <w:t xml:space="preserve">. </w:t>
      </w:r>
    </w:p>
    <w:p w14:paraId="737D0F8C" w14:textId="2ABF0175" w:rsidR="000B525F" w:rsidRPr="006E13D1" w:rsidRDefault="000B525F" w:rsidP="000B525F">
      <w:pPr>
        <w:pStyle w:val="Heading2"/>
      </w:pPr>
      <w:r w:rsidRPr="006E13D1">
        <w:t>3.</w:t>
      </w:r>
      <w:r>
        <w:t>4</w:t>
      </w:r>
      <w:r w:rsidRPr="006E13D1">
        <w:tab/>
      </w:r>
      <w:r>
        <w:t>Which common configuration parts can dedicated override?</w:t>
      </w:r>
    </w:p>
    <w:p w14:paraId="227E3B63" w14:textId="77777777" w:rsidR="00697BF2" w:rsidRDefault="00697BF2" w:rsidP="000B525F">
      <w:r>
        <w:t>As discussed in section 2, the RRC makes no note which parts each configuration can override. This is on purpose to avoid specification repetition, but it would be good to at least give the reference to 38.213 (with correct subclauses) to allow reader to find those places</w:t>
      </w:r>
    </w:p>
    <w:p w14:paraId="785EF3DD" w14:textId="66CF0320" w:rsidR="000B525F" w:rsidRDefault="00697BF2" w:rsidP="000B525F">
      <w:r w:rsidRPr="009F0CB7">
        <w:rPr>
          <w:b/>
        </w:rPr>
        <w:t>Proposal 5:</w:t>
      </w:r>
      <w:r>
        <w:t xml:space="preserve"> Add (where applicable and not yet existing) references to 38.213 subclauses to field descriptions of RRC TDD configuration fields.</w:t>
      </w:r>
    </w:p>
    <w:p w14:paraId="43A12B72" w14:textId="1D7E4363" w:rsidR="00CD4C7B" w:rsidRPr="006E13D1" w:rsidRDefault="00CD4C7B" w:rsidP="00CD4C7B">
      <w:pPr>
        <w:pStyle w:val="Heading1"/>
      </w:pPr>
      <w:r w:rsidRPr="006E13D1">
        <w:t>4</w:t>
      </w:r>
      <w:r w:rsidRPr="006E13D1">
        <w:tab/>
      </w:r>
      <w:r w:rsidR="00631A1A">
        <w:t>Conclusions</w:t>
      </w:r>
    </w:p>
    <w:p w14:paraId="50932044" w14:textId="2FFBAC5E" w:rsidR="00697BF2" w:rsidRDefault="00697BF2" w:rsidP="00697BF2">
      <w:r w:rsidRPr="007C44BA">
        <w:rPr>
          <w:b/>
        </w:rPr>
        <w:t>Observation 1:</w:t>
      </w:r>
      <w:r>
        <w:t xml:space="preserve"> The first and last flexible slots of the common configuration may also contain fixed DL symbols at the beginning (first FL slot only) and UL symbols at the end (last FL slot only).</w:t>
      </w:r>
    </w:p>
    <w:p w14:paraId="3749A646" w14:textId="77777777" w:rsidR="00697BF2" w:rsidRDefault="00697BF2" w:rsidP="00697BF2">
      <w:r w:rsidRPr="003350B5">
        <w:rPr>
          <w:b/>
        </w:rPr>
        <w:t xml:space="preserve">Observation </w:t>
      </w:r>
      <w:r>
        <w:rPr>
          <w:b/>
        </w:rPr>
        <w:t>2</w:t>
      </w:r>
      <w:r w:rsidRPr="003350B5">
        <w:rPr>
          <w:b/>
        </w:rPr>
        <w:t>:</w:t>
      </w:r>
      <w:r>
        <w:t xml:space="preserve"> NR RRC allows to two consecutive TDD configurations in cell-specific signalling. </w:t>
      </w:r>
    </w:p>
    <w:p w14:paraId="1F7C8F8B" w14:textId="77777777" w:rsidR="00697BF2" w:rsidRDefault="00697BF2" w:rsidP="00697BF2">
      <w:r w:rsidRPr="003350B5">
        <w:rPr>
          <w:b/>
        </w:rPr>
        <w:t xml:space="preserve">Observation </w:t>
      </w:r>
      <w:r>
        <w:rPr>
          <w:b/>
        </w:rPr>
        <w:t>3</w:t>
      </w:r>
      <w:r w:rsidRPr="003350B5">
        <w:rPr>
          <w:b/>
        </w:rPr>
        <w:t>:</w:t>
      </w:r>
      <w:r>
        <w:t xml:space="preserve"> The cell-specific configurations can only be changed via SI update (for PCell) or reconfiguration with sync (for PSCell and SCells).</w:t>
      </w:r>
    </w:p>
    <w:p w14:paraId="089B7F3F" w14:textId="77777777" w:rsidR="00697BF2" w:rsidRDefault="00697BF2" w:rsidP="00697BF2">
      <w:r w:rsidRPr="007C44BA">
        <w:rPr>
          <w:b/>
        </w:rPr>
        <w:t>Observation 4:</w:t>
      </w:r>
      <w:r>
        <w:t xml:space="preserve"> The UE-specific TDD configuration can only override slots designated as “flexible”, and does NOT override pure DL or UL slots.</w:t>
      </w:r>
    </w:p>
    <w:p w14:paraId="506D4CC2" w14:textId="77777777" w:rsidR="00697BF2" w:rsidRDefault="00697BF2" w:rsidP="00697BF2">
      <w:r w:rsidRPr="00BF7B32">
        <w:rPr>
          <w:b/>
        </w:rPr>
        <w:t xml:space="preserve">Observation </w:t>
      </w:r>
      <w:r>
        <w:rPr>
          <w:b/>
        </w:rPr>
        <w:t>5</w:t>
      </w:r>
      <w:r w:rsidRPr="00BF7B32">
        <w:rPr>
          <w:b/>
        </w:rPr>
        <w:t>:</w:t>
      </w:r>
      <w:r>
        <w:t xml:space="preserve"> UE-specific TDD configuration allows re-defining some or all of the slots in the cell-specific TDD configuration.</w:t>
      </w:r>
    </w:p>
    <w:p w14:paraId="0C268326" w14:textId="77777777" w:rsidR="00697BF2" w:rsidRDefault="00697BF2" w:rsidP="00697BF2">
      <w:r>
        <w:rPr>
          <w:b/>
        </w:rPr>
        <w:t>Observation 6</w:t>
      </w:r>
      <w:r w:rsidRPr="00BF7B32">
        <w:rPr>
          <w:b/>
        </w:rPr>
        <w:t>:</w:t>
      </w:r>
      <w:r>
        <w:t xml:space="preserve"> UE-specific TDD configuration allows having flexible symbol structure for some slots while retaining a DL/UL-only symbols for some slots.</w:t>
      </w:r>
    </w:p>
    <w:p w14:paraId="3C820606" w14:textId="22E00BC2" w:rsidR="00697BF2" w:rsidRDefault="00697BF2" w:rsidP="00697BF2">
      <w:r w:rsidRPr="007C44BA">
        <w:rPr>
          <w:b/>
        </w:rPr>
        <w:t>Observation 7:</w:t>
      </w:r>
      <w:r>
        <w:t xml:space="preserve"> SFC only affects the FL slots.</w:t>
      </w:r>
    </w:p>
    <w:p w14:paraId="632DD704" w14:textId="585FCFB3" w:rsidR="00697BF2" w:rsidRPr="007C44BA" w:rsidRDefault="00697BF2" w:rsidP="00697BF2">
      <w:r w:rsidRPr="007C44BA">
        <w:rPr>
          <w:b/>
        </w:rPr>
        <w:t xml:space="preserve">Observation 8: </w:t>
      </w:r>
      <w:r>
        <w:t>NR TDD configuration allows for very flexible operation, but it is likely that not all options are always used together</w:t>
      </w:r>
    </w:p>
    <w:p w14:paraId="164764E9" w14:textId="413CA3E5" w:rsidR="00697BF2" w:rsidRDefault="00697BF2" w:rsidP="00697BF2">
      <w:r w:rsidRPr="00976B0C">
        <w:rPr>
          <w:b/>
        </w:rPr>
        <w:t>Proposal 1:</w:t>
      </w:r>
      <w:r>
        <w:t xml:space="preserve"> Define Cond TDD for both common and dedicated TDD configurations.</w:t>
      </w:r>
    </w:p>
    <w:p w14:paraId="4D6ABFAF" w14:textId="49528F22" w:rsidR="00697BF2" w:rsidRDefault="00697BF2" w:rsidP="00697BF2">
      <w:r>
        <w:rPr>
          <w:b/>
        </w:rPr>
        <w:t>Proposal 2</w:t>
      </w:r>
      <w:r w:rsidRPr="00631A1A">
        <w:rPr>
          <w:b/>
        </w:rPr>
        <w:t>:</w:t>
      </w:r>
      <w:r>
        <w:t xml:space="preserve"> Clarify how the SCS is configured between </w:t>
      </w:r>
      <w:r w:rsidRPr="00631A1A">
        <w:rPr>
          <w:i/>
        </w:rPr>
        <w:t>ServingCellConfigCommon</w:t>
      </w:r>
      <w:r>
        <w:t xml:space="preserve"> and </w:t>
      </w:r>
      <w:r w:rsidRPr="00631A1A">
        <w:rPr>
          <w:i/>
        </w:rPr>
        <w:t>TDD-UL-DL-Config</w:t>
      </w:r>
      <w:r>
        <w:t xml:space="preserve">. </w:t>
      </w:r>
    </w:p>
    <w:p w14:paraId="13488254" w14:textId="36ECFF00" w:rsidR="00697BF2" w:rsidRDefault="00697BF2" w:rsidP="00697BF2">
      <w:r>
        <w:rPr>
          <w:b/>
        </w:rPr>
        <w:t>Proposal 3</w:t>
      </w:r>
      <w:r w:rsidRPr="00631A1A">
        <w:rPr>
          <w:b/>
        </w:rPr>
        <w:t>:</w:t>
      </w:r>
      <w:r>
        <w:t xml:space="preserve"> Clarify how the SCS is handled between BWP configurations, </w:t>
      </w:r>
      <w:r w:rsidRPr="00631A1A">
        <w:rPr>
          <w:i/>
        </w:rPr>
        <w:t>ServingCellConfigCommon</w:t>
      </w:r>
      <w:r>
        <w:t xml:space="preserve"> and </w:t>
      </w:r>
      <w:r w:rsidRPr="00631A1A">
        <w:rPr>
          <w:i/>
        </w:rPr>
        <w:t>TDD-UL-DL-Config</w:t>
      </w:r>
      <w:r>
        <w:t xml:space="preserve">. </w:t>
      </w:r>
    </w:p>
    <w:p w14:paraId="5FBC9D9D" w14:textId="346E9B11" w:rsidR="00697BF2" w:rsidRDefault="00697BF2" w:rsidP="00697BF2">
      <w:r>
        <w:rPr>
          <w:b/>
        </w:rPr>
        <w:t>Proposal 4</w:t>
      </w:r>
      <w:r w:rsidRPr="00631A1A">
        <w:rPr>
          <w:b/>
        </w:rPr>
        <w:t>:</w:t>
      </w:r>
      <w:r>
        <w:t xml:space="preserve"> Create field descriptions out of the comments in </w:t>
      </w:r>
      <w:r w:rsidRPr="002557D4">
        <w:rPr>
          <w:i/>
        </w:rPr>
        <w:t>ServingCellConfigCommon</w:t>
      </w:r>
      <w:r>
        <w:t xml:space="preserve">, </w:t>
      </w:r>
      <w:r w:rsidRPr="002557D4">
        <w:rPr>
          <w:i/>
        </w:rPr>
        <w:t>ServingCellConfig</w:t>
      </w:r>
      <w:r>
        <w:t xml:space="preserve">, </w:t>
      </w:r>
      <w:r w:rsidRPr="002557D4">
        <w:rPr>
          <w:i/>
        </w:rPr>
        <w:t>TDD-UL-DL-Config</w:t>
      </w:r>
      <w:r>
        <w:t xml:space="preserve">. </w:t>
      </w:r>
    </w:p>
    <w:p w14:paraId="61F78CB7" w14:textId="77777777" w:rsidR="00697BF2" w:rsidRDefault="00697BF2" w:rsidP="00697BF2">
      <w:r w:rsidRPr="007C44BA">
        <w:rPr>
          <w:b/>
        </w:rPr>
        <w:lastRenderedPageBreak/>
        <w:t>Proposal 5:</w:t>
      </w:r>
      <w:r>
        <w:t xml:space="preserve"> Add (where applicable and not yet existing) references to 38.213 subclauses to field descriptions of RRC TDD configuration fields.</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D1573" w14:textId="77777777" w:rsidR="00B07411" w:rsidRDefault="00B07411">
      <w:r>
        <w:separator/>
      </w:r>
    </w:p>
  </w:endnote>
  <w:endnote w:type="continuationSeparator" w:id="0">
    <w:p w14:paraId="579927D2" w14:textId="77777777" w:rsidR="00B07411" w:rsidRDefault="00B07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9BEEF" w14:textId="77777777" w:rsidR="00B07411" w:rsidRDefault="00B07411">
      <w:r>
        <w:separator/>
      </w:r>
    </w:p>
  </w:footnote>
  <w:footnote w:type="continuationSeparator" w:id="0">
    <w:p w14:paraId="642F531C" w14:textId="77777777" w:rsidR="00B07411" w:rsidRDefault="00B074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8E67D2"/>
    <w:multiLevelType w:val="hybridMultilevel"/>
    <w:tmpl w:val="4C9692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6AD379A3"/>
    <w:multiLevelType w:val="hybridMultilevel"/>
    <w:tmpl w:val="FCF25F7C"/>
    <w:lvl w:ilvl="0" w:tplc="236EA3A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525F"/>
    <w:rsid w:val="000B7BCF"/>
    <w:rsid w:val="000C522B"/>
    <w:rsid w:val="000D58AB"/>
    <w:rsid w:val="00112F1A"/>
    <w:rsid w:val="00145075"/>
    <w:rsid w:val="00154C67"/>
    <w:rsid w:val="001741A0"/>
    <w:rsid w:val="00175FA0"/>
    <w:rsid w:val="00194CD0"/>
    <w:rsid w:val="001B49C9"/>
    <w:rsid w:val="001C4F79"/>
    <w:rsid w:val="001F168B"/>
    <w:rsid w:val="001F7831"/>
    <w:rsid w:val="00204045"/>
    <w:rsid w:val="0020712B"/>
    <w:rsid w:val="00216AD0"/>
    <w:rsid w:val="0022606D"/>
    <w:rsid w:val="00231728"/>
    <w:rsid w:val="002557D4"/>
    <w:rsid w:val="002747EC"/>
    <w:rsid w:val="002855BF"/>
    <w:rsid w:val="002B50FD"/>
    <w:rsid w:val="002F0D22"/>
    <w:rsid w:val="002F3D41"/>
    <w:rsid w:val="003172DC"/>
    <w:rsid w:val="00325AE3"/>
    <w:rsid w:val="00326069"/>
    <w:rsid w:val="003350B5"/>
    <w:rsid w:val="0035462D"/>
    <w:rsid w:val="00364B41"/>
    <w:rsid w:val="003B40AD"/>
    <w:rsid w:val="003C4E37"/>
    <w:rsid w:val="003E16BE"/>
    <w:rsid w:val="004006E8"/>
    <w:rsid w:val="00401855"/>
    <w:rsid w:val="004430FC"/>
    <w:rsid w:val="00477455"/>
    <w:rsid w:val="004A1F7B"/>
    <w:rsid w:val="004C44D2"/>
    <w:rsid w:val="004D3578"/>
    <w:rsid w:val="004D380D"/>
    <w:rsid w:val="004E213A"/>
    <w:rsid w:val="00503171"/>
    <w:rsid w:val="00506C28"/>
    <w:rsid w:val="00534DA0"/>
    <w:rsid w:val="00543E6C"/>
    <w:rsid w:val="00565087"/>
    <w:rsid w:val="0056573F"/>
    <w:rsid w:val="00611566"/>
    <w:rsid w:val="00631A1A"/>
    <w:rsid w:val="00646D99"/>
    <w:rsid w:val="00656910"/>
    <w:rsid w:val="00683EBF"/>
    <w:rsid w:val="00697BF2"/>
    <w:rsid w:val="006C66D8"/>
    <w:rsid w:val="006D1E24"/>
    <w:rsid w:val="006E1417"/>
    <w:rsid w:val="006F6A2C"/>
    <w:rsid w:val="00710201"/>
    <w:rsid w:val="007342B5"/>
    <w:rsid w:val="00734A5B"/>
    <w:rsid w:val="00744E76"/>
    <w:rsid w:val="00757D40"/>
    <w:rsid w:val="00762804"/>
    <w:rsid w:val="00781F0F"/>
    <w:rsid w:val="0078727C"/>
    <w:rsid w:val="0079049D"/>
    <w:rsid w:val="00793DC5"/>
    <w:rsid w:val="007B18D8"/>
    <w:rsid w:val="007B6699"/>
    <w:rsid w:val="007C095F"/>
    <w:rsid w:val="007F73DA"/>
    <w:rsid w:val="008028A4"/>
    <w:rsid w:val="00813245"/>
    <w:rsid w:val="008768CA"/>
    <w:rsid w:val="00877EF9"/>
    <w:rsid w:val="00880559"/>
    <w:rsid w:val="008B5306"/>
    <w:rsid w:val="008D2E4D"/>
    <w:rsid w:val="0090271F"/>
    <w:rsid w:val="00902DB9"/>
    <w:rsid w:val="0090466A"/>
    <w:rsid w:val="00936071"/>
    <w:rsid w:val="00940212"/>
    <w:rsid w:val="00942EC2"/>
    <w:rsid w:val="00961B32"/>
    <w:rsid w:val="00970DB3"/>
    <w:rsid w:val="00974BB0"/>
    <w:rsid w:val="00976B0C"/>
    <w:rsid w:val="009A0AF3"/>
    <w:rsid w:val="009B07CD"/>
    <w:rsid w:val="009C19E9"/>
    <w:rsid w:val="009D74A6"/>
    <w:rsid w:val="009E2C63"/>
    <w:rsid w:val="009F0CB7"/>
    <w:rsid w:val="00A10F02"/>
    <w:rsid w:val="00A204CA"/>
    <w:rsid w:val="00A25820"/>
    <w:rsid w:val="00A45CF3"/>
    <w:rsid w:val="00A52C06"/>
    <w:rsid w:val="00A53724"/>
    <w:rsid w:val="00A7030C"/>
    <w:rsid w:val="00A82346"/>
    <w:rsid w:val="00A9671C"/>
    <w:rsid w:val="00AA1553"/>
    <w:rsid w:val="00B05962"/>
    <w:rsid w:val="00B07411"/>
    <w:rsid w:val="00B15449"/>
    <w:rsid w:val="00B22824"/>
    <w:rsid w:val="00B27303"/>
    <w:rsid w:val="00B47FD1"/>
    <w:rsid w:val="00B516BB"/>
    <w:rsid w:val="00BC3555"/>
    <w:rsid w:val="00BF7B32"/>
    <w:rsid w:val="00C12B51"/>
    <w:rsid w:val="00C24650"/>
    <w:rsid w:val="00C33079"/>
    <w:rsid w:val="00C83A13"/>
    <w:rsid w:val="00C9068C"/>
    <w:rsid w:val="00C92967"/>
    <w:rsid w:val="00CA3D0C"/>
    <w:rsid w:val="00CA654B"/>
    <w:rsid w:val="00CD4C7B"/>
    <w:rsid w:val="00D33BE3"/>
    <w:rsid w:val="00D3792D"/>
    <w:rsid w:val="00D55E47"/>
    <w:rsid w:val="00D62E19"/>
    <w:rsid w:val="00D738D6"/>
    <w:rsid w:val="00D80795"/>
    <w:rsid w:val="00D854BE"/>
    <w:rsid w:val="00D87E00"/>
    <w:rsid w:val="00D9134D"/>
    <w:rsid w:val="00D96D11"/>
    <w:rsid w:val="00DA7A03"/>
    <w:rsid w:val="00DB0DB8"/>
    <w:rsid w:val="00DB1818"/>
    <w:rsid w:val="00DC309B"/>
    <w:rsid w:val="00DC4DA2"/>
    <w:rsid w:val="00E449F5"/>
    <w:rsid w:val="00E47729"/>
    <w:rsid w:val="00E62835"/>
    <w:rsid w:val="00E77645"/>
    <w:rsid w:val="00E83697"/>
    <w:rsid w:val="00EC4A25"/>
    <w:rsid w:val="00EE7555"/>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B6699"/>
    <w:pPr>
      <w:spacing w:after="200"/>
    </w:pPr>
    <w:rPr>
      <w:i/>
      <w:iCs/>
      <w:color w:val="44546A" w:themeColor="text2"/>
      <w:sz w:val="18"/>
      <w:szCs w:val="18"/>
    </w:rPr>
  </w:style>
  <w:style w:type="paragraph" w:styleId="ListParagraph">
    <w:name w:val="List Paragraph"/>
    <w:basedOn w:val="Normal"/>
    <w:uiPriority w:val="34"/>
    <w:qFormat/>
    <w:rsid w:val="00976B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5AIRPNAIUNRU-859666464-1586</_dlc_DocId>
    <_dlc_DocIdUrl xmlns="71c5aaf6-e6ce-465b-b873-5148d2a4c105">
      <Url>https://nokia.sharepoint.com/sites/c5g/e2earch/_layouts/15/DocIdRedir.aspx?ID=5AIRPNAIUNRU-859666464-1586</Url>
      <Description>5AIRPNAIUNRU-859666464-1586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2.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3.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6.xml><?xml version="1.0" encoding="utf-8"?>
<ds:datastoreItem xmlns:ds="http://schemas.openxmlformats.org/officeDocument/2006/customXml" ds:itemID="{132BC52B-6CAA-421D-A4E1-857CF0B54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139</TotalTime>
  <Pages>8</Pages>
  <Words>2062</Words>
  <Characters>10271</Characters>
  <Application>Microsoft Office Word</Application>
  <DocSecurity>0</DocSecurity>
  <Lines>183</Lines>
  <Paragraphs>122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12211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Rapporteur</cp:lastModifiedBy>
  <cp:revision>10</cp:revision>
  <dcterms:created xsi:type="dcterms:W3CDTF">2018-03-27T05:35:00Z</dcterms:created>
  <dcterms:modified xsi:type="dcterms:W3CDTF">2018-04-06T07:03:00Z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498e860f-5d20-4b11-9b3e-f298b64346dd</vt:lpwstr>
  </property>
</Properties>
</file>